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Поставщики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ставщики-ai"/>
    <w:p>
      <w:pPr>
        <w:pStyle w:val="Heading1"/>
      </w:pPr>
      <w:r>
        <w:t xml:space="preserve">Поставщики AI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хранит безопасный реестр поставщиков AI: stable key, тип provider-а, признаки локальной/внешней/offline обработки, endpoint metadata, режим авторизации, ссылку на секрет и readiness-состояние.</w:t>
      </w:r>
    </w:p>
    <w:p>
      <w:pPr>
        <w:pStyle w:val="BodyText"/>
      </w:pPr>
      <w:r>
        <w:t xml:space="preserve">Секреты в записи поставщика не хранятся. В записи указывается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 а фактическое хранение, ротация и доступность секрета принадлежат модулю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AIProvider</w:t>
      </w:r>
      <w:r>
        <w:t xml:space="preserve"> </w:t>
      </w:r>
      <w:r>
        <w:t xml:space="preserve">не вызывает модель и не выполняет AI-операции. Его задача - дать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безопасные данные для explainable routing, HealthCheck, TestA и административной диагностики.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Поставщики AI</dc:title>
  <dc:creator/>
  <cp:keywords/>
  <dcterms:created xsi:type="dcterms:W3CDTF">2026-10-09T12:38:48Z</dcterms:created>
  <dcterms:modified xsi:type="dcterms:W3CDTF">2026-10-09T12:38:48Z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