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[I128-2813] Расширить Users/Organisations для заявителей и resolver участников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249b5ff1130f3c41d4dce1fc8a51b36be0785ba"/>
    <w:p>
      <w:pPr>
        <w:pStyle w:val="Heading1"/>
      </w:pPr>
      <w:r>
        <w:t xml:space="preserve">[I128-2813] Расширить Users/Organisations для заявителей и resolver участников процессов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11:56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Users/Organisations так, чтобы система могла единообразно определять заявителя, организацию, внешнего участника, сотрудника, подрядчика и делегированного представителя для задач и других workflow-процессов.</w:t>
      </w:r>
    </w:p>
    <w:p>
      <w:pPr>
        <w:pStyle w:val="BodyText"/>
      </w:pPr>
      <w:r>
        <w:t xml:space="preserve">В системе должен появиться общий applicant resolver. Он должен возвращать стабильный контекст участника процесса без копирования справочников пользователей, организаций и контактов в модуль Tasks или TaskPortal.</w:t>
      </w:r>
    </w:p>
    <w:p>
      <w:pPr>
        <w:pStyle w:val="Compact"/>
        <w:numPr>
          <w:ilvl w:val="0"/>
          <w:numId w:val="1002"/>
        </w:numPr>
      </w:pPr>
      <w:r>
        <w:t xml:space="preserve">Что Нужно Сделать</w:t>
      </w:r>
    </w:p>
    <w:p>
      <w:pPr>
        <w:numPr>
          <w:ilvl w:val="0"/>
          <w:numId w:val="1003"/>
        </w:numPr>
      </w:pPr>
      <w:r>
        <w:t xml:space="preserve">Описать модель участника процесса: авторизованный пользователь, внешний контакт, организация, подразделение или филиал, представитель организации, подрядчик, сервисная роль.</w:t>
      </w:r>
    </w:p>
    <w:p>
      <w:pPr>
        <w:numPr>
          <w:ilvl w:val="0"/>
          <w:numId w:val="1003"/>
        </w:numPr>
      </w:pPr>
      <w:r>
        <w:t xml:space="preserve">Реализовать resolver, который по входному контексту пользователя, публичного токена, контакта или организации возвращает безопасный applicant context.</w:t>
      </w:r>
    </w:p>
    <w:p>
      <w:pPr>
        <w:numPr>
          <w:ilvl w:val="0"/>
          <w:numId w:val="1003"/>
        </w:numPr>
      </w:pPr>
      <w:r>
        <w:t xml:space="preserve">Поддержать связь заявителя с организацией и делегирование действия от имени организации, если это разрешено политикой.</w:t>
      </w:r>
    </w:p>
    <w:p>
      <w:pPr>
        <w:numPr>
          <w:ilvl w:val="0"/>
          <w:numId w:val="1003"/>
        </w:numPr>
      </w:pPr>
      <w:r>
        <w:t xml:space="preserve">Поддержать проверку подтвержденных контактов: email, телефон или другой доступный канал. Неподтвержденный контакт не должен автоматически давать права на просмотр чужих обращений.</w:t>
      </w:r>
    </w:p>
    <w:p>
      <w:pPr>
        <w:numPr>
          <w:ilvl w:val="0"/>
          <w:numId w:val="1003"/>
        </w:numPr>
      </w:pPr>
      <w:r>
        <w:t xml:space="preserve">Поддержать inactive/deleted/merged состояния пользователей, контактов и организаций. Resolver должен возвращать предсказуемый результат и диагностируемую причину отказа.</w:t>
      </w:r>
    </w:p>
    <w:p>
      <w:pPr>
        <w:numPr>
          <w:ilvl w:val="0"/>
          <w:numId w:val="1003"/>
        </w:numPr>
      </w:pPr>
      <w:r>
        <w:t xml:space="preserve">Обеспечить API для модулей-потребителей: получить applicant context, проверить принадлежность к организации, проверить право действовать от имени организации, получить безопасное отображаемое имя.</w:t>
      </w:r>
    </w:p>
    <w:p>
      <w:pPr>
        <w:numPr>
          <w:ilvl w:val="0"/>
          <w:numId w:val="1003"/>
        </w:numPr>
      </w:pPr>
      <w:r>
        <w:t xml:space="preserve">Исключить хранение task-specific ролей внутри Users/Organisations. Такие роли, как автор задачи, наблюдатель, исполнитель или заявитель конкретной задачи, остаются в Tasks и ссылаются на субъектов через общий resolver.</w:t>
      </w:r>
    </w:p>
    <w:p>
      <w:pPr>
        <w:numPr>
          <w:ilvl w:val="0"/>
          <w:numId w:val="1003"/>
        </w:numPr>
      </w:pPr>
      <w:r>
        <w:t xml:space="preserve">Подготовить административную диагностику: битая связь, неподтвержденный контакт, конфликт делегирования, неактивная организация, неоднозначный resolver.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Users/Organisations владеет справочниками субъектов, их связями, контактами, состояниями и resolver.</w:t>
      </w:r>
    </w:p>
    <w:p>
      <w:pPr>
        <w:pStyle w:val="BodyText"/>
      </w:pPr>
      <w:r>
        <w:t xml:space="preserve">Tasks хранит только роли внутри конкретной задачи и ссылки на субъектов.</w:t>
      </w:r>
    </w:p>
    <w:p>
      <w:pPr>
        <w:pStyle w:val="BodyText"/>
      </w:pPr>
      <w:r>
        <w:t xml:space="preserve">TaskPortal строит пользовательский интерфейс и не реализует собственную модель контактов или организаций.</w:t>
      </w:r>
    </w:p>
    <w:p>
      <w:pPr>
        <w:pStyle w:val="BodyText"/>
      </w:pPr>
      <w:r>
        <w:t xml:space="preserve">Security принимает окончательное решение о доступе к объектам и полям по переданному контексту.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Модуль возвращает applicant context для авторизованного пользователя, внешнего контакта, организации и делегированного представителя.</w:t>
      </w:r>
    </w:p>
    <w:p>
      <w:pPr>
        <w:pStyle w:val="Compact"/>
        <w:numPr>
          <w:ilvl w:val="0"/>
          <w:numId w:val="1006"/>
        </w:numPr>
      </w:pPr>
      <w:r>
        <w:t xml:space="preserve">Задача может ссылаться на заявителя и организацию без копирования их справочных данных в запись задачи.</w:t>
      </w:r>
    </w:p>
    <w:p>
      <w:pPr>
        <w:pStyle w:val="Compact"/>
        <w:numPr>
          <w:ilvl w:val="0"/>
          <w:numId w:val="1006"/>
        </w:numPr>
      </w:pPr>
      <w:r>
        <w:t xml:space="preserve">Публичный портал не раскрывает данные задачи, если контакт не подтвержден или не имеет права действовать от имени организации.</w:t>
      </w:r>
    </w:p>
    <w:p>
      <w:pPr>
        <w:pStyle w:val="Compact"/>
        <w:numPr>
          <w:ilvl w:val="0"/>
          <w:numId w:val="1006"/>
        </w:numPr>
      </w:pPr>
      <w:r>
        <w:t xml:space="preserve">Неактивный, удаленный или объединенный субъект обрабатывается предсказуемо и попадает в диагностику.</w:t>
      </w:r>
    </w:p>
    <w:p>
      <w:pPr>
        <w:pStyle w:val="Compact"/>
        <w:numPr>
          <w:ilvl w:val="0"/>
          <w:numId w:val="1006"/>
        </w:numPr>
      </w:pPr>
      <w:r>
        <w:t xml:space="preserve">Resolver не содержит логики конкретного workflow</w:t>
      </w:r>
      <w:r>
        <w:rPr>
          <w:strike/>
        </w:rPr>
        <w:t xml:space="preserve">проекта и не знает бизнес</w:t>
      </w:r>
      <w:r>
        <w:t xml:space="preserve">правила Tasks.</w:t>
      </w:r>
    </w:p>
    <w:p>
      <w:pPr>
        <w:pStyle w:val="Compact"/>
        <w:numPr>
          <w:ilvl w:val="0"/>
          <w:numId w:val="1006"/>
        </w:numPr>
      </w:pPr>
      <w:r>
        <w:t xml:space="preserve">API, Help и TestA-сценарии покрывают основные успешные и отказные сценарии.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срез applicant resolver для связки Users/Organisations.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добавлены __call-функции Users для нормализации заявителя: авторизованный пользователь, внешний подтвержденный контакт, служебная роль;</w:t>
      </w:r>
      <w:r>
        <w:t xml:space="preserve"> </w:t>
      </w:r>
      <w:r>
        <w:t xml:space="preserve">- добавлены __call-функции Organisations для нормализации организации, контактных лиц и объяснимой проверки связи заявителя с организацией;</w:t>
      </w:r>
      <w:r>
        <w:t xml:space="preserve"> </w:t>
      </w:r>
      <w:r>
        <w:t xml:space="preserve">- новые функции не добавлены телами в api.php: там оставлены только PHPDoc</w:t>
      </w:r>
      <w:r>
        <w:t xml:space="preserve"> </w:t>
      </w:r>
      <w:r>
        <w:t xml:space="preserve">@method-декларации</w:t>
      </w:r>
      <w:r>
        <w:t xml:space="preserve"> </w:t>
      </w:r>
      <w:r>
        <w:t xml:space="preserve">по аналогии с Database;</w:t>
      </w:r>
      <w:r>
        <w:t xml:space="preserve"> </w:t>
      </w:r>
      <w:r>
        <w:t xml:space="preserve">- добавлены системные JSON</w:t>
      </w:r>
      <w:r>
        <w:rPr>
          <w:strike/>
        </w:rPr>
        <w:t xml:space="preserve">описания resolver</w:t>
      </w:r>
      <w:r>
        <w:t xml:space="preserve">контрактов;</w:t>
      </w:r>
      <w:r>
        <w:t xml:space="preserve"> </w:t>
      </w:r>
      <w:r>
        <w:t xml:space="preserve">- добавлены Help-страницы Users/ApplicantResolver и Organisations/ApplicantResolver;</w:t>
      </w:r>
      <w:r>
        <w:t xml:space="preserve"> </w:t>
      </w:r>
      <w:r>
        <w:t xml:space="preserve">- добавлены safe-read TestA проверки для Users и Organisations.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Users определяет заявителя и безопасное отображаемое имя;</w:t>
      </w:r>
      <w:r>
        <w:t xml:space="preserve"> </w:t>
      </w:r>
      <w:r>
        <w:t xml:space="preserve">- Organisations определяет организационный контекст и связь заявителя с организацией;</w:t>
      </w:r>
      <w:r>
        <w:t xml:space="preserve"> </w:t>
      </w:r>
      <w:r>
        <w:t xml:space="preserve">- Security остается владельцем финального решения доступа;</w:t>
      </w:r>
      <w:r>
        <w:t xml:space="preserve"> </w:t>
      </w:r>
      <w:r>
        <w:t xml:space="preserve">- Tasks/TaskPortal должны только потреблять готовый applicant context.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для всех новых и измененных PHP/inc файлов;</w:t>
      </w:r>
      <w:r>
        <w:t xml:space="preserve"> </w:t>
      </w:r>
      <w:r>
        <w:t xml:space="preserve">- JSON parse для modules/Users/system/applicant</w:t>
      </w:r>
      <w:r>
        <w:rPr>
          <w:i/>
          <w:iCs/>
        </w:rPr>
        <w:t xml:space="preserve">resolver.json и modules/Organisations/system/applicant</w:t>
      </w:r>
      <w:r>
        <w:t xml:space="preserve">resolver.json;</w:t>
      </w:r>
      <w:r>
        <w:t xml:space="preserve"> </w:t>
      </w:r>
      <w:r>
        <w:t xml:space="preserve">- TestA Users: safe-read, 6/6 passed;</w:t>
      </w:r>
      <w:r>
        <w:t xml:space="preserve"> </w:t>
      </w:r>
      <w:r>
        <w:t xml:space="preserve">- TestA Organisations: safe-read, 6/6 passed;</w:t>
      </w:r>
      <w:r>
        <w:t xml:space="preserve"> </w:t>
      </w:r>
      <w:r>
        <w:t xml:space="preserve">- targeted structural TestA для всех новых __call: passed;</w:t>
      </w:r>
      <w:r>
        <w:t xml:space="preserve"> </w:t>
      </w:r>
      <w:r>
        <w:t xml:space="preserve">- git diff –check: clean.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4"/>
    <w:p>
      <w:pPr>
        <w:pStyle w:val="Heading3"/>
      </w:pPr>
      <w:r>
        <w:t xml:space="preserve">1.1. 🔗 blocks: I128-2804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[I128-2804]</w:t>
        </w:r>
      </w:hyperlink>
      <w:r>
        <w:t xml:space="preserve"> </w:t>
      </w:r>
      <w:r>
        <w:t xml:space="preserve">Доменные сущности, связи и классификация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11"/>
    <w:p>
      <w:pPr>
        <w:pStyle w:val="Heading3"/>
      </w:pPr>
      <w:r>
        <w:t xml:space="preserve">1.2. 🔗 blocks: I128-2811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7"/>
    <w:p>
      <w:pPr>
        <w:pStyle w:val="Heading3"/>
      </w:pPr>
      <w:r>
        <w:t xml:space="preserve">1.3. 🔗 blocks: I128-2817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[I128-2817]</w:t>
        </w:r>
      </w:hyperlink>
      <w:r>
        <w:t xml:space="preserve"> </w:t>
      </w:r>
      <w:r>
        <w:t xml:space="preserve">Реализовать общесистемные рабочие календари WorkCalendar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22"/>
    <w:p>
      <w:pPr>
        <w:pStyle w:val="Heading3"/>
      </w:pPr>
      <w:r>
        <w:t xml:space="preserve">1.4. 🔗 blocks: I128-2822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27"/>
    <w:p>
      <w:pPr>
        <w:pStyle w:val="Heading3"/>
      </w:pPr>
      <w:r>
        <w:t xml:space="preserve">1.5. 🔗 blocks: I128-2827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[I128-2827]</w:t>
        </w:r>
      </w:hyperlink>
      <w:r>
        <w:t xml:space="preserve"> </w:t>
      </w:r>
      <w:r>
        <w:t xml:space="preserve">Расширить I128FMail как входящий почтовый канал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831"/>
    <w:p>
      <w:pPr>
        <w:pStyle w:val="Heading3"/>
      </w:pPr>
      <w:r>
        <w:t xml:space="preserve">1.6. 🔗 blocks: I128-2831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[I128-2831]</w:t>
        </w:r>
      </w:hyperlink>
      <w:r>
        <w:t xml:space="preserve"> </w:t>
      </w:r>
      <w:r>
        <w:t xml:space="preserve">Mapping внешних интеграций и реестр ExternalId в модуле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839"/>
    <w:p>
      <w:pPr>
        <w:pStyle w:val="Heading3"/>
      </w:pPr>
      <w:r>
        <w:t xml:space="preserve">1.7. 🔗 blocks: I128-2839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9" Target="?id=Help/Show&amp;m=Help/GeneralDescription/WhatsNew/I128/TaskInfo/I128-2804/README" TargetMode="External" /><Relationship Type="http://schemas.openxmlformats.org/officeDocument/2006/relationships/hyperlink" Id="rId11" Target="?id=Help/Show&amp;m=Help/GeneralDescription/WhatsNew/I128/TaskInfo/I128-2811/README" TargetMode="External" /><Relationship Type="http://schemas.openxmlformats.org/officeDocument/2006/relationships/hyperlink" Id="rId13" Target="?id=Help/Show&amp;m=Help/GeneralDescription/WhatsNew/I128/TaskInfo/I128-2817/README" TargetMode="External" /><Relationship Type="http://schemas.openxmlformats.org/officeDocument/2006/relationships/hyperlink" Id="rId15" Target="?id=Help/Show&amp;m=Help/GeneralDescription/WhatsNew/I128/TaskInfo/I128-2822/README" TargetMode="External" /><Relationship Type="http://schemas.openxmlformats.org/officeDocument/2006/relationships/hyperlink" Id="rId17" Target="?id=Help/Show&amp;m=Help/GeneralDescription/WhatsNew/I128/TaskInfo/I128-2827/README" TargetMode="External" /><Relationship Type="http://schemas.openxmlformats.org/officeDocument/2006/relationships/hyperlink" Id="rId19" Target="?id=Help/Show&amp;m=Help/GeneralDescription/WhatsNew/I128/TaskInfo/I128-2831/README" TargetMode="External" /><Relationship Type="http://schemas.openxmlformats.org/officeDocument/2006/relationships/hyperlink" Id="rId21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[I128-2813] Расширить Users/Organisations для заявителей и resolver участников процессов</dc:title>
  <dc:creator/>
  <cp:keywords/>
  <dcterms:created xsi:type="dcterms:W3CDTF">2026-10-03T19:44:24Z</dcterms:created>
  <dcterms:modified xsi:type="dcterms:W3CDTF">2026-10-03T19:44:24Z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