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[I128-2490] ЭДД: право просмотра заявки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bc987eb37e9b51cbdca21c5454ee1d6e6933bc"/>
    <w:p>
      <w:pPr>
        <w:pStyle w:val="Heading1"/>
      </w:pPr>
      <w:r>
        <w:t xml:space="preserve">[I128-2490] ЭДД: право просмотра заявки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заявки ЭДД право просмотра для IP добавляется в служебное поле 113 прямой записью из модуля CSpiderEDD. После выделения границы ответственности Security это оставляет часть сценария создания заявки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заявки ЭДД использует общий механизм Security для назначения права просмотра. Для пользователя сценарий не меняется: заявка создается, а доступ к ней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modules/CSpiderEDD/api.php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a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ra,</w:t>
      </w:r>
      <w:r>
        <w:rPr>
          <w:strike/>
        </w:rPr>
        <w:t xml:space="preserve"> </w:t>
      </w:r>
      <w:r>
        <w:rPr>
          <w:strike/>
        </w:rPr>
        <w:t xml:space="preserve">‘Ip’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‘view’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[I128-2490] ЭДД: право просмотра заявки назначается вне Security</dc:title>
  <dc:creator/>
  <cp:keywords/>
  <dcterms:created xsi:type="dcterms:W3CDTF">2026-10-03T19:44:55Z</dcterms:created>
  <dcterms:modified xsi:type="dcterms:W3CDTF">2026-10-03T19:44:55Z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