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Базы данных и провайдеры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базы-данных-и-провайдеры-данных"/>
    <w:p>
      <w:pPr>
        <w:pStyle w:val="Heading1"/>
      </w:pPr>
      <w:r>
        <w:t xml:space="preserve">Базы данных и провайдеры данных</w:t>
      </w:r>
    </w:p>
    <w:p>
      <w:pPr>
        <w:pStyle w:val="FirstParagraph"/>
      </w:pPr>
      <w:r>
        <w:t xml:space="preserve">Сервер приложений ИРБИС 128 работает с базами данных через провайдеры данных. Провайдер скрывает особенности конкретного источника данных и предоставляет системе единый набор операций: подключение, поиск, чтение, форматирование и запись.</w:t>
      </w:r>
    </w:p>
    <w:p>
      <w:pPr>
        <w:pStyle w:val="BodyText"/>
      </w:pPr>
      <w:r>
        <w:t xml:space="preserve">Настройка провайдера хранится отдельно от записи БД. Запись БД хранит SID конфигурации провайдера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а имя БД на подключаемом сервере - в поле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; в карточке БД эти параметры редактируются как выбор записи конфигурации и строковое поле. Сами параметры соединения находятся в отдельной записи конфигурации провайдера. Для разных типов провайдеров используются отдельные типы записей, совпадающие с модулями провайдеров: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; такие записи редактируются в АРМ как обычные typed-записи с явными полями параметров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кроме параметров</w:t>
      </w:r>
      <w:r>
        <w:t xml:space="preserve"> </w:t>
      </w:r>
      <w:r>
        <w:rPr>
          <w:rStyle w:val="VerbatimChar"/>
        </w:rPr>
        <w:t xml:space="preserve">DB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TYPE</w:t>
      </w:r>
      <w:r>
        <w:t xml:space="preserve">.</w:t>
      </w:r>
      <w:r>
        <w:t xml:space="preserve"> </w:t>
      </w:r>
      <w:r>
        <w:rPr>
          <w:rStyle w:val="VerbatimChar"/>
        </w:rPr>
        <w:t xml:space="preserve">DB</w:t>
      </w:r>
      <w:r>
        <w:t xml:space="preserve"> </w:t>
      </w:r>
      <w:r>
        <w:t xml:space="preserve">хранится в записи БД, а</w:t>
      </w:r>
      <w:r>
        <w:t xml:space="preserve"> </w:t>
      </w:r>
      <w:r>
        <w:rPr>
          <w:rStyle w:val="VerbatimChar"/>
        </w:rPr>
        <w:t xml:space="preserve">TYPE</w:t>
      </w:r>
      <w:r>
        <w:t xml:space="preserve"> </w:t>
      </w:r>
      <w:r>
        <w:t xml:space="preserve">вычисляется из типа записи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  <w:r>
        <w:t xml:space="preserve"> </w:t>
      </w:r>
      <w:r>
        <w:t xml:space="preserve">Создать или открыть такую запись можно в настройках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разделе</w:t>
      </w:r>
      <w:r>
        <w:t xml:space="preserve"> </w:t>
      </w:r>
      <w:r>
        <w:rPr>
          <w:b/>
          <w:bCs/>
        </w:rPr>
        <w:t xml:space="preserve">Конфигурации провайдеров данных</w:t>
      </w:r>
      <w:r>
        <w:t xml:space="preserve">. В этом разделе находятся кнопки управления для доступных модулей</w:t>
      </w:r>
      <w:r>
        <w:t xml:space="preserve"> </w:t>
      </w:r>
      <w:r>
        <w:rPr>
          <w:rStyle w:val="VerbatimChar"/>
        </w:rPr>
        <w:t xml:space="preserve">DP_*</w:t>
      </w:r>
      <w:r>
        <w:t xml:space="preserve">; каждая кнопка открывает список записей соответствующего типа, например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.</w:t>
      </w:r>
    </w:p>
    <w:p>
      <w:pPr>
        <w:pStyle w:val="BodyText"/>
      </w:pPr>
      <w:r>
        <w:t xml:space="preserve">Если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 </w:t>
      </w:r>
      <w:r>
        <w:t xml:space="preserve">в записи БД еще не заполнено, система читает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из физического INI-файла БД. Для</w:t>
      </w:r>
      <w:r>
        <w:t xml:space="preserve"> </w:t>
      </w:r>
      <w:r>
        <w:rPr>
          <w:rStyle w:val="VerbatimChar"/>
        </w:rPr>
        <w:t xml:space="preserve">TYPE=Local</w:t>
      </w:r>
      <w:r>
        <w:t xml:space="preserve"> </w:t>
      </w:r>
      <w:r>
        <w:t xml:space="preserve">секция удаляется из INI БД, а поле</w:t>
      </w:r>
      <w:r>
        <w:t xml:space="preserve"> </w:t>
      </w:r>
      <w:r>
        <w:rPr>
          <w:rStyle w:val="VerbatimChar"/>
        </w:rPr>
        <w:t xml:space="preserve">221</w:t>
      </w:r>
      <w:r>
        <w:t xml:space="preserve"> </w:t>
      </w:r>
      <w:r>
        <w:t xml:space="preserve">остается пустым. Для других типов система переносит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, ищет уже существующую запись конфигурации с таким же набором параметров соединения без</w:t>
      </w:r>
      <w:r>
        <w:t xml:space="preserve"> </w:t>
      </w:r>
      <w:r>
        <w:rPr>
          <w:rStyle w:val="VerbatimChar"/>
        </w:rPr>
        <w:t xml:space="preserve">DB</w:t>
      </w:r>
      <w:r>
        <w:t xml:space="preserve">; если такой записи нет, создает новую. После этого SID найденной или созданной записи записывается в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а секция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удаляется из INI БД. Если нет ни SID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ни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используется локальный провайдер.</w:t>
      </w:r>
    </w:p>
    <w:bookmarkStart w:id="9" w:name="типы-провайдеров"/>
    <w:p>
      <w:pPr>
        <w:pStyle w:val="Heading2"/>
      </w:pPr>
      <w:r>
        <w:t xml:space="preserve">1. Типы провайдеров</w:t>
      </w:r>
    </w:p>
    <w:p>
      <w:pPr>
        <w:pStyle w:val="FirstParagraph"/>
      </w:pPr>
      <w:r>
        <w:t xml:space="preserve">Редактор записей конфигурации провайдера поддерживает следующие типы: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Irbis64r</w:t>
            </w:r>
          </w:p>
        </w:tc>
        <w:tc>
          <w:tcPr/>
          <w:p>
            <w:pPr>
              <w:pStyle w:val="Compact"/>
            </w:pPr>
            <w:r>
              <w:t xml:space="preserve">Подключение к TCP-серверу ИРБИС 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jirb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jirb2</w:t>
            </w:r>
          </w:p>
        </w:tc>
        <w:tc>
          <w:tcPr/>
          <w:p>
            <w:pPr>
              <w:pStyle w:val="Compact"/>
            </w:pPr>
            <w:r>
              <w:t xml:space="preserve">Подключение к J-ИРБИС.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MarcWeb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MarcWeb2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VTLS</w:t>
            </w:r>
          </w:p>
        </w:tc>
        <w:tc>
          <w:tcPr/>
          <w:p>
            <w:pPr>
              <w:pStyle w:val="Compact"/>
            </w:pPr>
            <w:r>
              <w:t xml:space="preserve">Подключение к внешним Web-каталогам соответствующих типов.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webirb</w:t>
            </w:r>
          </w:p>
        </w:tc>
        <w:tc>
          <w:tcPr/>
          <w:p>
            <w:pPr>
              <w:pStyle w:val="Compact"/>
            </w:pPr>
            <w:r>
              <w:t xml:space="preserve">Подключение к Web-ИРБИС 32/64/64+.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</w:t>
            </w:r>
          </w:p>
        </w:tc>
        <w:tc>
          <w:tcPr/>
          <w:p>
            <w:pPr>
              <w:pStyle w:val="Compact"/>
            </w:pPr>
            <w:r>
              <w:t xml:space="preserve">Подключение к ИРБИС 64/128.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raidb0</w:t>
            </w:r>
          </w:p>
        </w:tc>
        <w:tc>
          <w:tcPr/>
          <w:p>
            <w:pPr>
              <w:pStyle w:val="Compact"/>
            </w:pPr>
            <w:r>
              <w:t xml:space="preserve">Логическое объединение нескольких БД в одну.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</w:t>
            </w:r>
          </w:p>
        </w:tc>
        <w:tc>
          <w:tcPr/>
          <w:p>
            <w:pPr>
              <w:pStyle w:val="Compact"/>
            </w:pPr>
            <w:r>
              <w:t xml:space="preserve">Локальная БД на основном сервере ИРБИС 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EKBSON</w:t>
            </w:r>
          </w:p>
        </w:tc>
        <w:tc>
          <w:tcPr/>
          <w:p>
            <w:pPr>
              <w:pStyle w:val="Compact"/>
            </w:pPr>
            <w:r>
              <w:t xml:space="preserve">Сводная БД ИС ЭКБСОН.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z3950</w:t>
            </w:r>
          </w:p>
        </w:tc>
        <w:tc>
          <w:tcPr/>
          <w:p>
            <w:pPr>
              <w:pStyle w:val="Compact"/>
            </w:pPr>
            <w:r>
              <w:t xml:space="preserve">Подключение к серверу Z39.50.</w:t>
            </w:r>
          </w:p>
        </w:tc>
      </w:tr>
    </w:tbl>
    <w:p>
      <w:pPr>
        <w:pStyle w:val="BodyText"/>
      </w:pPr>
      <w:r>
        <w:t xml:space="preserve">При открытии БД система вычисляет</w:t>
      </w:r>
      <w:r>
        <w:t xml:space="preserve"> </w:t>
      </w:r>
      <w:r>
        <w:rPr>
          <w:rStyle w:val="VerbatimChar"/>
        </w:rPr>
        <w:t xml:space="preserve">PROVIDER.TYPE</w:t>
      </w:r>
      <w:r>
        <w:t xml:space="preserve"> </w:t>
      </w:r>
      <w:r>
        <w:t xml:space="preserve">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связанной записи конфигурации или читает его из мигрируемой секции INI БД и выбирает соответствующий модуль провайдера. Например, для типа</w:t>
      </w:r>
      <w:r>
        <w:t xml:space="preserve"> </w:t>
      </w:r>
      <w:r>
        <w:rPr>
          <w:rStyle w:val="VerbatimChar"/>
        </w:rPr>
        <w:t xml:space="preserve">webirb</w:t>
      </w:r>
      <w:r>
        <w:t xml:space="preserve"> </w:t>
      </w:r>
      <w:r>
        <w:t xml:space="preserve">используется модуль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raidb0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. Тип провайдера индексируется у записи БД терминами</w:t>
      </w:r>
      <w:r>
        <w:t xml:space="preserve"> </w:t>
      </w:r>
      <w:r>
        <w:rPr>
          <w:rStyle w:val="VerbatimChar"/>
        </w:rPr>
        <w:t xml:space="preserve">DBPROVIDER=&lt;тип&gt;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DBPROVIDER.TYPE=&lt;тип&gt;</w:t>
      </w:r>
      <w:r>
        <w:t xml:space="preserve">, а сами записи конфигурации индексируются терминами</w:t>
      </w:r>
      <w:r>
        <w:t xml:space="preserve"> </w:t>
      </w:r>
      <w:r>
        <w:rPr>
          <w:rStyle w:val="VerbatimChar"/>
        </w:rPr>
        <w:t xml:space="preserve">DBPROVIDERCFG.*</w:t>
      </w:r>
      <w:r>
        <w:t xml:space="preserve">.</w:t>
      </w:r>
    </w:p>
    <w:bookmarkEnd w:id="9"/>
    <w:bookmarkStart w:id="10" w:name="общие-параметры"/>
    <w:p>
      <w:pPr>
        <w:pStyle w:val="Heading2"/>
      </w:pPr>
      <w:r>
        <w:t xml:space="preserve">2. Общие параметры</w:t>
      </w:r>
    </w:p>
    <w:p>
      <w:pPr>
        <w:pStyle w:val="FirstParagraph"/>
      </w:pPr>
      <w:r>
        <w:t xml:space="preserve">Набор полей в окне настройки зависит от типа записи провайдера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TYPE</w:t>
      </w:r>
      <w:r>
        <w:t xml:space="preserve"> </w:t>
      </w:r>
      <w:r>
        <w:t xml:space="preserve">в записи конфигурации не редактируется и не хранится как отдельное поле: при формировании runtime-секции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он вычисляется из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Использование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HOST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PORT</w:t>
            </w:r>
          </w:p>
        </w:tc>
        <w:tc>
          <w:tcPr/>
          <w:p>
            <w:pPr>
              <w:pStyle w:val="Compact"/>
            </w:pPr>
            <w:r>
              <w:t xml:space="preserve">Адрес и порт подключаемого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TIMEOUT</w:t>
            </w:r>
          </w:p>
        </w:tc>
        <w:tc>
          <w:tcPr/>
          <w:p>
            <w:pPr>
              <w:pStyle w:val="Compact"/>
            </w:pPr>
            <w:r>
              <w:t xml:space="preserve">Таймаут соединения.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PW</w:t>
            </w:r>
          </w:p>
        </w:tc>
        <w:tc>
          <w:tcPr/>
          <w:p>
            <w:pPr>
              <w:pStyle w:val="Compact"/>
            </w:pPr>
            <w:r>
              <w:t xml:space="preserve">Учетные данные для провайдеров, которые поддерживают авторизацию.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Имя БД на подключаемом сервере. Хранится в записи</w:t>
            </w:r>
            <w:r>
              <w:t xml:space="preserve"> </w:t>
            </w:r>
            <w:r>
              <w:rPr>
                <w:rStyle w:val="VerbatimChar"/>
              </w:rPr>
              <w:t xml:space="preserve">DATABASE</w:t>
            </w:r>
            <w:r>
              <w:t xml:space="preserve"> </w:t>
            </w:r>
            <w:r>
              <w:t xml:space="preserve">в поле</w:t>
            </w:r>
            <w:r>
              <w:t xml:space="preserve"> </w:t>
            </w:r>
            <w:r>
              <w:rPr>
                <w:rStyle w:val="VerbatimChar"/>
              </w:rPr>
              <w:t xml:space="preserve">221^B</w:t>
            </w:r>
            <w:r>
              <w:t xml:space="preserve"> </w:t>
            </w:r>
            <w:r>
              <w:t xml:space="preserve">и при открытии БД передается провайдеру как</w:t>
            </w:r>
            <w:r>
              <w:t xml:space="preserve"> </w:t>
            </w:r>
            <w:r>
              <w:rPr>
                <w:rStyle w:val="VerbatimChar"/>
              </w:rPr>
              <w:t xml:space="preserve">PROVIDER.DB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REMOTECP</w:t>
            </w:r>
          </w:p>
        </w:tc>
        <w:tc>
          <w:tcPr/>
          <w:p>
            <w:pPr>
              <w:pStyle w:val="Compact"/>
            </w:pPr>
            <w:r>
              <w:t xml:space="preserve">Кодировка данных удаленной системы.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PROXY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PROXYUSER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PROXYPASSWORD</w:t>
            </w:r>
          </w:p>
        </w:tc>
        <w:tc>
          <w:tcPr/>
          <w:p>
            <w:pPr>
              <w:pStyle w:val="Compact"/>
            </w:pPr>
            <w:r>
              <w:t xml:space="preserve">Параметры прокси-сервера для провайдеров, где доступ выполняется через HTTP.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</w:t>
            </w:r>
          </w:p>
        </w:tc>
        <w:tc>
          <w:tcPr/>
          <w:p>
            <w:pPr>
              <w:pStyle w:val="Compact"/>
            </w:pPr>
            <w:r>
              <w:t xml:space="preserve">Формат для разбора записей или ответа внешней системы.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FSTINNAME</w:t>
            </w:r>
          </w:p>
        </w:tc>
        <w:tc>
          <w:tcPr/>
          <w:p>
            <w:pPr>
              <w:pStyle w:val="Compact"/>
            </w:pPr>
            <w:r>
              <w:t xml:space="preserve">Формат входных записей для провайдеров, которым нужна конвертация.</w:t>
            </w:r>
          </w:p>
        </w:tc>
      </w:tr>
    </w:tbl>
    <w:bookmarkEnd w:id="10"/>
    <w:bookmarkStart w:id="11" w:name="провайдер-raidb0"/>
    <w:p>
      <w:pPr>
        <w:pStyle w:val="Heading2"/>
      </w:pPr>
      <w:r>
        <w:t xml:space="preserve">3. Провайдер</w:t>
      </w:r>
      <w:r>
        <w:t xml:space="preserve"> </w:t>
      </w:r>
      <w:r>
        <w:rPr>
          <w:rStyle w:val="VerbatimChar"/>
        </w:rPr>
        <w:t xml:space="preserve">raidb0</w:t>
      </w:r>
    </w:p>
    <w:p>
      <w:pPr>
        <w:pStyle w:val="FirstParagraph"/>
      </w:pPr>
      <w:r>
        <w:t xml:space="preserve">Провайдер</w:t>
      </w:r>
      <w:r>
        <w:t xml:space="preserve"> </w:t>
      </w:r>
      <w:r>
        <w:rPr>
          <w:rStyle w:val="VerbatimChar"/>
        </w:rPr>
        <w:t xml:space="preserve">raidb0</w:t>
      </w:r>
      <w:r>
        <w:t xml:space="preserve"> </w:t>
      </w:r>
      <w:r>
        <w:t xml:space="preserve">используется, когда одну логическую БД нужно собрать из нескольких физических БД. В настройках указываются подключенные БД и вес записи в каждую из них.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SUBDBS_COUNT</w:t>
            </w:r>
          </w:p>
        </w:tc>
        <w:tc>
          <w:tcPr/>
          <w:p>
            <w:pPr>
              <w:pStyle w:val="Compact"/>
            </w:pPr>
            <w:r>
              <w:t xml:space="preserve">Количество подключенных БД. Заполняется автоматически при сохранении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SUBDBSCFG_&lt;N&gt;_NAME</w:t>
            </w:r>
          </w:p>
        </w:tc>
        <w:tc>
          <w:tcPr/>
          <w:p>
            <w:pPr>
              <w:pStyle w:val="Compact"/>
            </w:pPr>
            <w:r>
              <w:t xml:space="preserve">Имя подключенной БД с номером</w:t>
            </w:r>
            <w:r>
              <w:t xml:space="preserve"> </w:t>
            </w:r>
            <w:r>
              <w:rPr>
                <w:rStyle w:val="VerbatimChar"/>
              </w:rPr>
              <w:t xml:space="preserve">&lt;N&gt;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SUBDBSCFG_&lt;N&gt;_READWEIGHT</w:t>
            </w:r>
          </w:p>
        </w:tc>
        <w:tc>
          <w:tcPr/>
          <w:p>
            <w:pPr>
              <w:pStyle w:val="Compact"/>
            </w:pPr>
            <w:r>
              <w:t xml:space="preserve">Вес чтения из указанной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SUBDBSCFG_&lt;N&gt;_WRITEWEIGHT</w:t>
            </w:r>
          </w:p>
        </w:tc>
        <w:tc>
          <w:tcPr/>
          <w:p>
            <w:pPr>
              <w:pStyle w:val="Compact"/>
            </w:pPr>
            <w:r>
              <w:t xml:space="preserve">Вес записи в указанную БД. Используется для распределения записей между подключенными БД.</w:t>
            </w:r>
          </w:p>
        </w:tc>
      </w:tr>
    </w:tbl>
    <w:bookmarkEnd w:id="11"/>
    <w:bookmarkStart w:id="13" w:name="провайдер-z39.50"/>
    <w:p>
      <w:pPr>
        <w:pStyle w:val="Heading2"/>
      </w:pPr>
      <w:r>
        <w:t xml:space="preserve">4. Провайдер Z39.50</w:t>
      </w:r>
    </w:p>
    <w:p>
      <w:pPr>
        <w:pStyle w:val="FirstParagraph"/>
      </w:pPr>
      <w:r>
        <w:t xml:space="preserve">Для работы провайдера Z39.50 требуется PHP-модуль</w:t>
      </w:r>
      <w:r>
        <w:t xml:space="preserve"> </w:t>
      </w:r>
      <w:r>
        <w:rPr>
          <w:rStyle w:val="VerbatimChar"/>
        </w:rPr>
        <w:t xml:space="preserve">yaz</w:t>
      </w:r>
      <w:r>
        <w:t xml:space="preserve">. Это требование также зафиксировано в разделе</w:t>
      </w:r>
      <w:r>
        <w:t xml:space="preserve"> </w:t>
      </w:r>
      <w:hyperlink r:id="rId12">
        <w:r>
          <w:rPr>
            <w:rStyle w:val="Hyperlink"/>
          </w:rPr>
          <w:t xml:space="preserve">системных требований</w:t>
        </w:r>
      </w:hyperlink>
      <w:r>
        <w:t xml:space="preserve">.</w:t>
      </w:r>
    </w:p>
    <w:p>
      <w:pPr>
        <w:pStyle w:val="BodyText"/>
      </w:pPr>
      <w:r>
        <w:t xml:space="preserve">Основные параметры Z39.50:</w:t>
      </w:r>
      <w:r>
        <w:t xml:space="preserve"> </w:t>
      </w:r>
      <w:r>
        <w:rPr>
          <w:rStyle w:val="VerbatimChar"/>
        </w:rPr>
        <w:t xml:space="preserve">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PORT</w:t>
      </w:r>
      <w:r>
        <w:t xml:space="preserve">,</w:t>
      </w:r>
      <w:r>
        <w:t xml:space="preserve"> </w:t>
      </w:r>
      <w:r>
        <w:rPr>
          <w:rStyle w:val="VerbatimChar"/>
        </w:rPr>
        <w:t xml:space="preserve">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PW</w:t>
      </w:r>
      <w:r>
        <w:t xml:space="preserve">,</w:t>
      </w:r>
      <w:r>
        <w:t xml:space="preserve"> </w:t>
      </w:r>
      <w:r>
        <w:rPr>
          <w:rStyle w:val="VerbatimChar"/>
        </w:rPr>
        <w:t xml:space="preserve">DB</w:t>
      </w:r>
      <w:r>
        <w:t xml:space="preserve">,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REMOTECP</w:t>
      </w:r>
      <w:r>
        <w:t xml:space="preserve">,</w:t>
      </w:r>
      <w:r>
        <w:t xml:space="preserve"> </w:t>
      </w:r>
      <w:r>
        <w:rPr>
          <w:rStyle w:val="VerbatimChar"/>
        </w:rPr>
        <w:t xml:space="preserve">FMT</w:t>
      </w:r>
      <w:r>
        <w:t xml:space="preserve">,</w:t>
      </w:r>
      <w:r>
        <w:t xml:space="preserve"> </w:t>
      </w:r>
      <w:r>
        <w:rPr>
          <w:rStyle w:val="VerbatimChar"/>
        </w:rPr>
        <w:t xml:space="preserve">FSTINNAME</w:t>
      </w:r>
      <w:r>
        <w:t xml:space="preserve">.</w:t>
      </w:r>
    </w:p>
    <w:bookmarkEnd w:id="13"/>
    <w:bookmarkStart w:id="16" w:name="связь-с-основным-провайдером-системы"/>
    <w:p>
      <w:pPr>
        <w:pStyle w:val="Heading2"/>
      </w:pPr>
      <w:r>
        <w:t xml:space="preserve">5. Связь с основным провайдером системы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$OPTIONS['localProvider']</w:t>
      </w:r>
      <w:r>
        <w:t xml:space="preserve"> </w:t>
      </w:r>
      <w:r>
        <w:t xml:space="preserve">задает основной провайдер данных системы. Для локального файлового доступа может использоваться нативный провайдер</w:t>
      </w:r>
      <w:r>
        <w:t xml:space="preserve"> </w:t>
      </w:r>
      <w:hyperlink r:id="rId14">
        <w:r>
          <w:rPr>
            <w:rStyle w:val="Hyperlink"/>
          </w:rPr>
          <w:t xml:space="preserve">DP_Irbis64Native</w:t>
        </w:r>
      </w:hyperlink>
      <w:r>
        <w:t xml:space="preserve">. Его текущее значение и доступные системные параметры описаны в разделе</w:t>
      </w:r>
      <w:r>
        <w:t xml:space="preserve"> </w:t>
      </w:r>
      <w:hyperlink r:id="rId15">
        <w:r>
          <w:rPr>
            <w:rStyle w:val="Hyperlink"/>
          </w:rPr>
          <w:t xml:space="preserve">параметров ядра</w:t>
        </w:r>
      </w:hyperlink>
      <w:r>
        <w:t xml:space="preserve">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DP_Irbis64Native/Root" TargetMode="External" /><Relationship Type="http://schemas.openxmlformats.org/officeDocument/2006/relationships/hyperlink" Id="rId15" Target="?id=Help/Show&amp;m=Help/Server128/SystemCore/OPTIONS" TargetMode="External" /><Relationship Type="http://schemas.openxmlformats.org/officeDocument/2006/relationships/hyperlink" Id="rId12" Target="?id=Help/Show&amp;m=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DP_Irbis64Native/Root" TargetMode="External" /><Relationship Type="http://schemas.openxmlformats.org/officeDocument/2006/relationships/hyperlink" Id="rId15" Target="?id=Help/Show&amp;m=Help/Server128/SystemCore/OPTIONS" TargetMode="External" /><Relationship Type="http://schemas.openxmlformats.org/officeDocument/2006/relationships/hyperlink" Id="rId12" Target="?id=Help/Show&amp;m=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Базы данных и провайдеры данных</dc:title>
  <dc:creator/>
  <cp:keywords/>
  <dcterms:created xsi:type="dcterms:W3CDTF">2026-10-05T21:58:56Z</dcterms:created>
  <dcterms:modified xsi:type="dcterms:W3CDTF">2026-10-05T21:58:56Z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