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&amp;uf(’+1W… - Запись в глобальные переменные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1w---запись-в-глобальные-переменные"/>
    <w:p>
      <w:pPr>
        <w:pStyle w:val="Heading1"/>
      </w:pPr>
      <w:r>
        <w:t xml:space="preserve">&amp;uf(’+1W… - Запись в глобальные переменные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Запись в глобальные переменные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+1WNNN,MMM#SSSS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MMM - номер переменной для сохранения кол-ва записанных переменных (по умолчанию не используется);</w:t>
      </w:r>
      <w:r>
        <w:t xml:space="preserve"> </w:t>
      </w:r>
      <w:r>
        <w:t xml:space="preserve">* SSSS - список строк (результат расформатирования). Если задан MMM – каждая строка пишется в отдельную переменную, в противном случае все пишется в одну переменную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&amp;unifor('+1W100,0#',(v910/))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&amp;uf(’+1W… - Запись в глобальные переменные</dc:title>
  <dc:creator/>
  <cp:keywords/>
  <dcterms:created xsi:type="dcterms:W3CDTF">2026-10-08T01:24:40Z</dcterms:created>
  <dcterms:modified xsi:type="dcterms:W3CDTF">2026-10-08T01:24:40Z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