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модуля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ояние-модуля-i128f"/>
    <w:p>
      <w:pPr>
        <w:pStyle w:val="Heading1"/>
      </w:pPr>
      <w:r>
        <w:t xml:space="preserve">Состояние модуля i128f</w:t>
      </w:r>
    </w:p>
    <w:p>
      <w:pPr>
        <w:pStyle w:val="FirstParagraph"/>
      </w:pPr>
      <w:r>
        <w:t xml:space="preserve">Раздел описывает служебные свойства, через которые 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хранит состояние подключения к ИРБИС64 и кэш уже открытых баз. Эти свойства нужны для внутренней работы модуля; внешний код должен пользоваться публичными методами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GetRootAdminDP()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.</w:t>
      </w:r>
    </w:p>
    <w:bookmarkStart w:id="9" w:name="инициализация-подключения"/>
    <w:p>
      <w:pPr>
        <w:pStyle w:val="Heading2"/>
      </w:pPr>
      <w:r>
        <w:t xml:space="preserve">1. Инициализация подключения</w:t>
      </w:r>
    </w:p>
    <w:p>
      <w:pPr>
        <w:pStyle w:val="FirstParagraph"/>
      </w:pPr>
      <w:r>
        <w:t xml:space="preserve">При запуске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задает имя и тип модуля, проверяет базовые параметры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 затем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. До успешного подключения состояние явно инициализировано начальными значениями: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$IsConnected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$IsConnecting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$debugmode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true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Connect()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как защиту от повторного входа. Если подключение уже выполнено или выполняется, метод сразу завершает работу. При начале подключения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становится</w:t>
      </w:r>
      <w:r>
        <w:t xml:space="preserve"> </w:t>
      </w:r>
      <w:r>
        <w:rPr>
          <w:rStyle w:val="VerbatimChar"/>
        </w:rPr>
        <w:t xml:space="preserve">true</w:t>
      </w:r>
      <w:r>
        <w:t xml:space="preserve">; после инициализации корневого провайдера и чтения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модуль устанавливает</w:t>
      </w:r>
      <w:r>
        <w:t xml:space="preserve"> </w:t>
      </w:r>
      <w:r>
        <w:rPr>
          <w:rStyle w:val="VerbatimChar"/>
        </w:rPr>
        <w:t xml:space="preserve">$IsConnected = true</w:t>
      </w:r>
      <w:r>
        <w:t xml:space="preserve"> </w:t>
      </w:r>
      <w:r>
        <w:t xml:space="preserve">и возвращает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</w:t>
      </w:r>
    </w:p>
    <w:p>
      <w:pPr>
        <w:pStyle w:val="BodyText"/>
      </w:pPr>
      <w:r>
        <w:t xml:space="preserve">Пока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не установлен,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 </w:t>
      </w:r>
      <w:r>
        <w:t xml:space="preserve">не возвращает объект базы. Это защищает вызывающий код от работы с неинициализированным корневым провайдером.</w:t>
      </w:r>
    </w:p>
    <w:bookmarkEnd w:id="9"/>
    <w:bookmarkStart w:id="10" w:name="кэш-открытых-баз"/>
    <w:p>
      <w:pPr>
        <w:pStyle w:val="Heading2"/>
      </w:pPr>
      <w:r>
        <w:t xml:space="preserve">2. Кэш открытых баз</w:t>
      </w:r>
    </w:p>
    <w:p>
      <w:pPr>
        <w:pStyle w:val="FirstParagraph"/>
      </w:pPr>
      <w:r>
        <w:rPr>
          <w:rStyle w:val="VerbatimChar"/>
        </w:rPr>
        <w:t xml:space="preserve">$Databases</w:t>
      </w:r>
      <w:r>
        <w:t xml:space="preserve"> </w:t>
      </w:r>
      <w:r>
        <w:t xml:space="preserve">объявлен как приватный массив</w:t>
      </w:r>
      <w:r>
        <w:t xml:space="preserve"> </w:t>
      </w:r>
      <w:r>
        <w:rPr>
          <w:rStyle w:val="VerbatimChar"/>
        </w:rPr>
        <w:t xml:space="preserve">array&lt;string, ObjectDataDatabase&gt;</w:t>
      </w:r>
      <w:r>
        <w:t xml:space="preserve"> </w:t>
      </w:r>
      <w:r>
        <w:t xml:space="preserve">и сразу инициализирован пустым массивом. Ключом служит мнемоническое имя базы, а значением -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сначала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 затем проверяет имя базы. Если имя начинается с</w:t>
      </w:r>
      <w:r>
        <w:t xml:space="preserve"> </w:t>
      </w:r>
      <w:r>
        <w:rPr>
          <w:rStyle w:val="VerbatimChar"/>
        </w:rPr>
        <w:t xml:space="preserve">-</w:t>
      </w:r>
      <w:r>
        <w:t xml:space="preserve">, база открывается в режиме только чтения, а для ключа кэша используется имя без префикса. Если база уже есть в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, метод возвращает существующий объект без повторного открытия.</w:t>
      </w:r>
    </w:p>
    <w:p>
      <w:pPr>
        <w:pStyle w:val="BodyText"/>
      </w:pPr>
      <w:r>
        <w:t xml:space="preserve">Когда база открывается впервые, модуль:</w:t>
      </w:r>
    </w:p>
    <w:p>
      <w:pPr>
        <w:pStyle w:val="Compact"/>
        <w:numPr>
          <w:ilvl w:val="0"/>
          <w:numId w:val="1002"/>
        </w:numPr>
      </w:pPr>
      <w:r>
        <w:t xml:space="preserve">создает объект базы через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назначает имя базы и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связывает базу с корневым провайдером;</w:t>
      </w:r>
    </w:p>
    <w:p>
      <w:pPr>
        <w:pStyle w:val="Compact"/>
        <w:numPr>
          <w:ilvl w:val="0"/>
          <w:numId w:val="1002"/>
        </w:numPr>
      </w:pPr>
      <w:r>
        <w:t xml:space="preserve">загружает настройки ARM и INI базы;</w:t>
      </w:r>
    </w:p>
    <w:p>
      <w:pPr>
        <w:pStyle w:val="Compact"/>
        <w:numPr>
          <w:ilvl w:val="0"/>
          <w:numId w:val="1002"/>
        </w:numPr>
      </w:pPr>
      <w:r>
        <w:t xml:space="preserve">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назначает индивидуальный провайдер из INI базы;</w:t>
      </w:r>
    </w:p>
    <w:p>
      <w:pPr>
        <w:pStyle w:val="Compact"/>
        <w:numPr>
          <w:ilvl w:val="0"/>
          <w:numId w:val="1002"/>
        </w:numPr>
      </w:pPr>
      <w:r>
        <w:t xml:space="preserve">сохраняет объект в</w:t>
      </w:r>
      <w:r>
        <w:t xml:space="preserve"> </w:t>
      </w:r>
      <w:r>
        <w:rPr>
          <w:rStyle w:val="VerbatimChar"/>
        </w:rPr>
        <w:t xml:space="preserve">$Databases[$dbName]</w:t>
      </w:r>
      <w:r>
        <w:t xml:space="preserve">.</w:t>
      </w:r>
    </w:p>
    <w:p>
      <w:pPr>
        <w:pStyle w:val="FirstParagraph"/>
      </w:pPr>
      <w:r>
        <w:t xml:space="preserve">Режим открытия определяется первым обращением к базе. Если первым было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последующие обращения к той же базе возвращают уже созданный объект в режиме чтения.</w:t>
      </w:r>
    </w:p>
    <w:bookmarkEnd w:id="10"/>
    <w:bookmarkStart w:id="12" w:name="внешний-доступ-к-состоянию"/>
    <w:p>
      <w:pPr>
        <w:pStyle w:val="Heading2"/>
      </w:pPr>
      <w:r>
        <w:t xml:space="preserve">3. Внешний доступ к состоянию</w:t>
      </w:r>
    </w:p>
    <w:p>
      <w:pPr>
        <w:pStyle w:val="FirstParagraph"/>
      </w:pPr>
      <w:r>
        <w:t xml:space="preserve">Прямое чтение или изменение служебных свойств модуля не является поддерживаемым контрактом. Для прикладного кода предназначены публичные методы: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совместимым синонимом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открывает или возвращает из кэша объект базы;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выполняет полную инициализацию базы по мнемоническому имени.</w:t>
      </w:r>
    </w:p>
    <w:p>
      <w:pPr>
        <w:pStyle w:val="FirstParagraph"/>
      </w:pPr>
      <w:r>
        <w:t xml:space="preserve">Подробности выбора провайдера и параметров подключения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Провайдеры и подключение</w:t>
        </w:r>
      </w:hyperlink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i128f/Help/Provid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i128f/Help/Provid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модуля i128f</dc:title>
  <dc:creator/>
  <cp:keywords/>
  <dcterms:created xsi:type="dcterms:W3CDTF">2026-10-08T20:25:21Z</dcterms:created>
  <dcterms:modified xsi:type="dcterms:W3CDTF">2026-10-08T20:25:21Z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