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RAVR(формат)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avrформат"/>
    <w:p>
      <w:pPr>
        <w:pStyle w:val="Heading1"/>
      </w:pPr>
      <w:r>
        <w:t xml:space="preserve">Функция RAVR(формат)</w:t>
      </w:r>
    </w:p>
    <w:p>
      <w:pPr>
        <w:pStyle w:val="FirstParagraph"/>
      </w:pPr>
      <w:r>
        <w:t xml:space="preserve">Функция RAVR возвращает среднее арифметическое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Вычисленное среднее значение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необходимо предусмотреть, чтобы такое разделение в формате присутствовало. Функция RAVR может использоваться для вычисления среднего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(v1|;|)</w:t>
            </w:r>
          </w:p>
        </w:tc>
        <w:tc>
          <w:tcPr/>
          <w:p>
            <w:pPr>
              <w:pStyle w:val="Compact"/>
            </w:pPr>
            <w:r>
              <w:t xml:space="preserve">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25.25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RAVR(формат)</dc:title>
  <dc:creator/>
  <cp:keywords/>
  <dcterms:created xsi:type="dcterms:W3CDTF">2026-10-09T05:29:59Z</dcterms:created>
  <dcterms:modified xsi:type="dcterms:W3CDTF">2026-10-09T05:29:59Z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