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SyncPolicy и ConflictPolicy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syncpolicy-и-conflictpolicy"/>
    <w:p>
      <w:pPr>
        <w:pStyle w:val="Heading1"/>
      </w:pPr>
      <w:r>
        <w:t xml:space="preserve">SyncPolicy и ConflictPolicy</w:t>
      </w:r>
    </w:p>
    <w:p>
      <w:pPr>
        <w:pStyle w:val="FirstParagraph"/>
      </w:pPr>
      <w:r>
        <w:rPr>
          <w:rStyle w:val="VerbatimChar"/>
        </w:rPr>
        <w:t xml:space="preserve">SyncPolicy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ConflictPolicy</w:t>
      </w:r>
      <w:r>
        <w:t xml:space="preserve"> </w:t>
      </w:r>
      <w:r>
        <w:t xml:space="preserve">являются настройками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для внешних интеграций, где одного mapping уже недостаточно. Они позволяют объяснимо определить, можно ли применить входящее или исходящее изменение, какие поля конфликтуют, какая policy выбрана и почему результат должен быть отклонен, отложен, передан доменному модулю или отправлен на ручное разрешение.</w:t>
      </w:r>
    </w:p>
    <w:bookmarkStart w:id="9" w:name="syncpolicy"/>
    <w:p>
      <w:pPr>
        <w:pStyle w:val="Heading2"/>
      </w:pPr>
      <w:r>
        <w:t xml:space="preserve">1. SyncPolicy</w:t>
      </w:r>
    </w:p>
    <w:p>
      <w:pPr>
        <w:pStyle w:val="FirstParagraph"/>
      </w:pPr>
      <w:r>
        <w:rPr>
          <w:rStyle w:val="VerbatimChar"/>
        </w:rPr>
        <w:t xml:space="preserve">SyncPolicy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Политика синхронизации</w:t>
      </w:r>
      <w:r>
        <w:t xml:space="preserve">.</w:t>
      </w:r>
    </w:p>
    <w:p>
      <w:pPr>
        <w:pStyle w:val="BodyText"/>
      </w:pPr>
      <w:r>
        <w:t xml:space="preserve">Политика описывает:</w:t>
      </w:r>
    </w:p>
    <w:p>
      <w:pPr>
        <w:pStyle w:val="Compact"/>
        <w:numPr>
          <w:ilvl w:val="0"/>
          <w:numId w:val="1001"/>
        </w:numPr>
      </w:pPr>
      <w:r>
        <w:t xml:space="preserve">профиль внешней интеграции;</w:t>
      </w:r>
    </w:p>
    <w:p>
      <w:pPr>
        <w:pStyle w:val="Compact"/>
        <w:numPr>
          <w:ilvl w:val="0"/>
          <w:numId w:val="1001"/>
        </w:numPr>
      </w:pPr>
      <w:r>
        <w:t xml:space="preserve">APIContract и версию контракта;</w:t>
      </w:r>
    </w:p>
    <w:p>
      <w:pPr>
        <w:pStyle w:val="Compact"/>
        <w:numPr>
          <w:ilvl w:val="0"/>
          <w:numId w:val="1001"/>
        </w:numPr>
      </w:pPr>
      <w:r>
        <w:t xml:space="preserve">MappingProfile для нормализации payload;</w:t>
      </w:r>
    </w:p>
    <w:p>
      <w:pPr>
        <w:pStyle w:val="Compact"/>
        <w:numPr>
          <w:ilvl w:val="0"/>
          <w:numId w:val="1001"/>
        </w:numPr>
      </w:pPr>
      <w:r>
        <w:t xml:space="preserve">внутренний object type;</w:t>
      </w:r>
    </w:p>
    <w:p>
      <w:pPr>
        <w:pStyle w:val="Compact"/>
        <w:numPr>
          <w:ilvl w:val="0"/>
          <w:numId w:val="1001"/>
        </w:numPr>
      </w:pPr>
      <w:r>
        <w:t xml:space="preserve">направление</w:t>
      </w:r>
      <w:r>
        <w:t xml:space="preserve"> </w:t>
      </w:r>
      <w:r>
        <w:rPr>
          <w:rStyle w:val="VerbatimChar"/>
        </w:rPr>
        <w:t xml:space="preserve">inbound</w:t>
      </w:r>
      <w:r>
        <w:t xml:space="preserve">,</w:t>
      </w:r>
      <w:r>
        <w:t xml:space="preserve"> </w:t>
      </w:r>
      <w:r>
        <w:rPr>
          <w:rStyle w:val="VerbatimChar"/>
        </w:rPr>
        <w:t xml:space="preserve">outbound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bidirectional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source-of-truth policy;</w:t>
      </w:r>
    </w:p>
    <w:p>
      <w:pPr>
        <w:pStyle w:val="Compact"/>
        <w:numPr>
          <w:ilvl w:val="0"/>
          <w:numId w:val="1001"/>
        </w:numPr>
      </w:pPr>
      <w:r>
        <w:t xml:space="preserve">ссылку на ConflictPolicy;</w:t>
      </w:r>
    </w:p>
    <w:p>
      <w:pPr>
        <w:pStyle w:val="Compact"/>
        <w:numPr>
          <w:ilvl w:val="0"/>
          <w:numId w:val="1001"/>
        </w:numPr>
      </w:pPr>
      <w:r>
        <w:t xml:space="preserve">idempotency scope;</w:t>
      </w:r>
    </w:p>
    <w:p>
      <w:pPr>
        <w:pStyle w:val="Compact"/>
        <w:numPr>
          <w:ilvl w:val="0"/>
          <w:numId w:val="1001"/>
        </w:numPr>
      </w:pPr>
      <w:r>
        <w:t xml:space="preserve">обязательность TraceContext;</w:t>
      </w:r>
    </w:p>
    <w:p>
      <w:pPr>
        <w:pStyle w:val="Compact"/>
        <w:numPr>
          <w:ilvl w:val="0"/>
          <w:numId w:val="1001"/>
        </w:numPr>
      </w:pPr>
      <w:r>
        <w:t xml:space="preserve">stale data policy;</w:t>
      </w:r>
    </w:p>
    <w:p>
      <w:pPr>
        <w:pStyle w:val="Compact"/>
        <w:numPr>
          <w:ilvl w:val="0"/>
          <w:numId w:val="1001"/>
        </w:numPr>
      </w:pPr>
      <w:r>
        <w:t xml:space="preserve">retry eligibility;</w:t>
      </w:r>
    </w:p>
    <w:p>
      <w:pPr>
        <w:pStyle w:val="Compact"/>
        <w:numPr>
          <w:ilvl w:val="0"/>
          <w:numId w:val="1001"/>
        </w:numPr>
      </w:pPr>
      <w:r>
        <w:t xml:space="preserve">список разрешенных операций.</w:t>
      </w:r>
    </w:p>
    <w:p>
      <w:pPr>
        <w:pStyle w:val="FirstParagraph"/>
      </w:pPr>
      <w:r>
        <w:t xml:space="preserve">Операция SyncPolicy может быть только contract-уровнем. API строит</w:t>
      </w:r>
      <w:r>
        <w:t xml:space="preserve"> </w:t>
      </w:r>
      <w:r>
        <w:rPr>
          <w:rStyle w:val="VerbatimChar"/>
        </w:rPr>
        <w:t xml:space="preserve">SyncPlan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SyncApplyRequest</w:t>
      </w:r>
      <w:r>
        <w:t xml:space="preserve">, но не сохраняет доменную запись, не выполняет Workflow-переход, не публикует события и не ставит Queue job.</w:t>
      </w:r>
    </w:p>
    <w:bookmarkEnd w:id="9"/>
    <w:bookmarkStart w:id="10" w:name="conflictpolicy"/>
    <w:p>
      <w:pPr>
        <w:pStyle w:val="Heading2"/>
      </w:pPr>
      <w:r>
        <w:t xml:space="preserve">2. ConflictPolicy</w:t>
      </w:r>
    </w:p>
    <w:p>
      <w:pPr>
        <w:pStyle w:val="FirstParagraph"/>
      </w:pPr>
      <w:r>
        <w:rPr>
          <w:rStyle w:val="VerbatimChar"/>
        </w:rPr>
        <w:t xml:space="preserve">ConflictPolicy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Политика разрешения конфликтов</w:t>
      </w:r>
      <w:r>
        <w:t xml:space="preserve">.</w:t>
      </w:r>
    </w:p>
    <w:p>
      <w:pPr>
        <w:pStyle w:val="BodyText"/>
      </w:pPr>
      <w:r>
        <w:t xml:space="preserve">Поддерживаемые стратегии: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reject-with-explanation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internal-wins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external-wins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last-writer-wins</w:t>
      </w:r>
      <w:r>
        <w:t xml:space="preserve"> </w:t>
      </w:r>
      <w:r>
        <w:t xml:space="preserve">только с явной timestamp/version policy;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manual-resolution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field-level-merge</w:t>
      </w:r>
      <w:r>
        <w:t xml:space="preserve">.</w:t>
      </w:r>
    </w:p>
    <w:p>
      <w:pPr>
        <w:pStyle w:val="FirstParagraph"/>
      </w:pPr>
      <w:r>
        <w:t xml:space="preserve">Если policy не задана или неполна, безопасное поведение по умолчанию -</w:t>
      </w:r>
      <w:r>
        <w:t xml:space="preserve"> </w:t>
      </w:r>
      <w:r>
        <w:rPr>
          <w:rStyle w:val="VerbatimChar"/>
        </w:rPr>
        <w:t xml:space="preserve">reject-with-explanation</w:t>
      </w:r>
      <w:r>
        <w:t xml:space="preserve">. Неявное перезаписывание внутреннего или внешнего состояния запрещено.</w:t>
      </w:r>
    </w:p>
    <w:bookmarkEnd w:id="10"/>
    <w:bookmarkStart w:id="11" w:name="dry-run-sync"/>
    <w:p>
      <w:pPr>
        <w:pStyle w:val="Heading2"/>
      </w:pPr>
      <w:r>
        <w:t xml:space="preserve">3. Dry-run sync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API/DryRunSync</w:t>
      </w:r>
      <w:r>
        <w:t xml:space="preserve"> </w:t>
      </w:r>
      <w:r>
        <w:t xml:space="preserve">принимает sync context и payload, вызывает</w:t>
      </w:r>
      <w:r>
        <w:t xml:space="preserve"> </w:t>
      </w:r>
      <w:r>
        <w:rPr>
          <w:rStyle w:val="VerbatimChar"/>
        </w:rPr>
        <w:t xml:space="preserve">API/DryRunMapping</w:t>
      </w:r>
      <w:r>
        <w:t xml:space="preserve">, подбирает SyncPolicy/ConflictPolicy, классифицирует field-level conflicts и возвращает</w:t>
      </w:r>
      <w:r>
        <w:t xml:space="preserve"> </w:t>
      </w:r>
      <w:r>
        <w:rPr>
          <w:rStyle w:val="VerbatimChar"/>
        </w:rPr>
        <w:t xml:space="preserve">SyncPlan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SyncPlan</w:t>
      </w:r>
      <w:r>
        <w:t xml:space="preserve"> </w:t>
      </w:r>
      <w:r>
        <w:t xml:space="preserve">включает:</w:t>
      </w:r>
    </w:p>
    <w:p>
      <w:pPr>
        <w:pStyle w:val="Compact"/>
        <w:numPr>
          <w:ilvl w:val="0"/>
          <w:numId w:val="1003"/>
        </w:numPr>
      </w:pPr>
      <w:r>
        <w:t xml:space="preserve">normalized payload;</w:t>
      </w:r>
    </w:p>
    <w:p>
      <w:pPr>
        <w:pStyle w:val="Compact"/>
        <w:numPr>
          <w:ilvl w:val="0"/>
          <w:numId w:val="1003"/>
        </w:numPr>
      </w:pPr>
      <w:r>
        <w:t xml:space="preserve">найденный ExternalId;</w:t>
      </w:r>
    </w:p>
    <w:p>
      <w:pPr>
        <w:pStyle w:val="Compact"/>
        <w:numPr>
          <w:ilvl w:val="0"/>
          <w:numId w:val="1003"/>
        </w:numPr>
      </w:pPr>
      <w:r>
        <w:t xml:space="preserve">ссылку на внутренний объект;</w:t>
      </w:r>
    </w:p>
    <w:p>
      <w:pPr>
        <w:pStyle w:val="Compact"/>
        <w:numPr>
          <w:ilvl w:val="0"/>
          <w:numId w:val="1003"/>
        </w:numPr>
      </w:pPr>
      <w:r>
        <w:t xml:space="preserve">proposed field changes по stable field keys;</w:t>
      </w:r>
    </w:p>
    <w:p>
      <w:pPr>
        <w:pStyle w:val="Compact"/>
        <w:numPr>
          <w:ilvl w:val="0"/>
          <w:numId w:val="1003"/>
        </w:numPr>
      </w:pPr>
      <w:r>
        <w:t xml:space="preserve">workflow action request без выполнения перехода;</w:t>
      </w:r>
    </w:p>
    <w:p>
      <w:pPr>
        <w:pStyle w:val="Compact"/>
        <w:numPr>
          <w:ilvl w:val="0"/>
          <w:numId w:val="1003"/>
        </w:numPr>
      </w:pPr>
      <w:r>
        <w:t xml:space="preserve">participant/file resolver requests;</w:t>
      </w:r>
    </w:p>
    <w:p>
      <w:pPr>
        <w:pStyle w:val="Compact"/>
        <w:numPr>
          <w:ilvl w:val="0"/>
          <w:numId w:val="1003"/>
        </w:numPr>
      </w:pPr>
      <w:r>
        <w:t xml:space="preserve">conflict classes;</w:t>
      </w:r>
    </w:p>
    <w:p>
      <w:pPr>
        <w:pStyle w:val="Compact"/>
        <w:numPr>
          <w:ilvl w:val="0"/>
          <w:numId w:val="1003"/>
        </w:numPr>
      </w:pPr>
      <w:r>
        <w:t xml:space="preserve">выбранную policy decision;</w:t>
      </w:r>
    </w:p>
    <w:p>
      <w:pPr>
        <w:pStyle w:val="Compact"/>
        <w:numPr>
          <w:ilvl w:val="0"/>
          <w:numId w:val="1003"/>
        </w:numPr>
      </w:pPr>
      <w:r>
        <w:t xml:space="preserve">idempotency fingerprint;</w:t>
      </w:r>
    </w:p>
    <w:p>
      <w:pPr>
        <w:pStyle w:val="Compact"/>
        <w:numPr>
          <w:ilvl w:val="0"/>
          <w:numId w:val="1003"/>
        </w:numPr>
      </w:pPr>
      <w:r>
        <w:t xml:space="preserve">trace metadata;</w:t>
      </w:r>
    </w:p>
    <w:p>
      <w:pPr>
        <w:pStyle w:val="Compact"/>
        <w:numPr>
          <w:ilvl w:val="0"/>
          <w:numId w:val="1003"/>
        </w:numPr>
      </w:pPr>
      <w:r>
        <w:t xml:space="preserve">Security summary;</w:t>
      </w:r>
    </w:p>
    <w:p>
      <w:pPr>
        <w:pStyle w:val="Compact"/>
        <w:numPr>
          <w:ilvl w:val="0"/>
          <w:numId w:val="1003"/>
        </w:numPr>
      </w:pPr>
      <w:r>
        <w:t xml:space="preserve">стандартный</w:t>
      </w:r>
      <w:r>
        <w:t xml:space="preserve"> </w:t>
      </w:r>
      <w:r>
        <w:rPr>
          <w:rStyle w:val="VerbatimChar"/>
        </w:rPr>
        <w:t xml:space="preserve">SyncApplyRequest</w:t>
      </w:r>
      <w:r>
        <w:t xml:space="preserve"> </w:t>
      </w:r>
      <w:r>
        <w:t xml:space="preserve">для доменного модуля.</w:t>
      </w:r>
    </w:p>
    <w:p>
      <w:pPr>
        <w:pStyle w:val="FirstParagraph"/>
      </w:pPr>
      <w:r>
        <w:t xml:space="preserve">Dry-run sync не имеет побочных эффектов.</w:t>
      </w:r>
    </w:p>
    <w:bookmarkEnd w:id="11"/>
    <w:bookmarkStart w:id="12" w:name="границы-ответственности"/>
    <w:p>
      <w:pPr>
        <w:pStyle w:val="Heading2"/>
      </w:pPr>
      <w:r>
        <w:t xml:space="preserve">4.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владеет SyncPolicy, ConflictPolicy, dry-run sync, explainable diff, SyncPlan, SyncApplyRequest/SyncApplyResult contract, where-used и API diagnostics.</w:t>
      </w:r>
    </w:p>
    <w:p>
      <w:pPr>
        <w:pStyle w:val="BodyText"/>
      </w:pPr>
      <w:r>
        <w:rPr>
          <w:rStyle w:val="VerbatimChar"/>
        </w:rPr>
        <w:t xml:space="preserve">EventBus</w:t>
      </w:r>
      <w:r>
        <w:t xml:space="preserve"> </w:t>
      </w:r>
      <w:r>
        <w:t xml:space="preserve">владеет событиями, inbox/outbox, delivery, retry и dead-letter доставки.</w:t>
      </w:r>
    </w:p>
    <w:p>
      <w:pPr>
        <w:pStyle w:val="BodyText"/>
      </w:pPr>
      <w:r>
        <w:rPr>
          <w:rStyle w:val="VerbatimChar"/>
        </w:rPr>
        <w:t xml:space="preserve">Queue</w:t>
      </w:r>
      <w:r>
        <w:t xml:space="preserve"> </w:t>
      </w:r>
      <w:r>
        <w:t xml:space="preserve">владеет фоновым выполнением, scheduling, retry/backoff, timeout, worker state и job dead-letter.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правами, grants/denies, masking, field security и безопасными отказами доступа.</w:t>
      </w:r>
    </w:p>
    <w:p>
      <w:pPr>
        <w:pStyle w:val="BodyText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владеет stable field keys и семантикой полей.</w:t>
      </w:r>
    </w:p>
    <w:p>
      <w:pPr>
        <w:pStyle w:val="BodyText"/>
      </w:pPr>
      <w:r>
        <w:rPr>
          <w:rStyle w:val="VerbatimChar"/>
        </w:rPr>
        <w:t xml:space="preserve">Workflow*</w:t>
      </w:r>
      <w:r>
        <w:t xml:space="preserve"> </w:t>
      </w:r>
      <w:r>
        <w:t xml:space="preserve">владеет workflow-проектами, статусами, переходами и доступностью workflow-действий.</w:t>
      </w:r>
    </w:p>
    <w:p>
      <w:pPr>
        <w:pStyle w:val="BodyText"/>
      </w:pPr>
      <w:r>
        <w:t xml:space="preserve">Доменные модули применяют</w:t>
      </w:r>
      <w:r>
        <w:t xml:space="preserve"> </w:t>
      </w:r>
      <w:r>
        <w:rPr>
          <w:rStyle w:val="VerbatimChar"/>
        </w:rPr>
        <w:t xml:space="preserve">SyncApplyRequest</w:t>
      </w:r>
      <w:r>
        <w:t xml:space="preserve">, сохраняют записи, выполняют бизнес-валидацию и возвращают</w:t>
      </w:r>
      <w:r>
        <w:t xml:space="preserve"> </w:t>
      </w:r>
      <w:r>
        <w:rPr>
          <w:rStyle w:val="VerbatimChar"/>
        </w:rPr>
        <w:t xml:space="preserve">SyncApplyResult</w:t>
      </w:r>
      <w:r>
        <w:t xml:space="preserve">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SyncPolicy и ConflictPolicy</dc:title>
  <dc:creator/>
  <cp:keywords/>
  <dcterms:created xsi:type="dcterms:W3CDTF">2026-10-07T03:18:49Z</dcterms:created>
  <dcterms:modified xsi:type="dcterms:W3CDTF">2026-10-07T03:18:49Z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