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назначение-workflowproject"/>
    <w:p>
      <w:pPr>
        <w:pStyle w:val="Heading1"/>
      </w:pPr>
      <w:r>
        <w:t xml:space="preserve">Назначение WorkflowProject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нужен администратору для настройки проекта: выбора проектных типов объектов, workflow, начального статуса, схем экранов, фильтров, представлений, доступных типов связей и правил поиска записи по внешнему идентификатору.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записи, а проектный тип объекта определяет процессную конфигурацию внутри проекта.</w:t>
      </w:r>
    </w:p>
    <w:p>
      <w:pPr>
        <w:pStyle w:val="BodyText"/>
      </w:pPr>
      <w:r>
        <w:t xml:space="preserve">Подробное описание полей, импорта, экспорта, копирования и удаления проекта находится в разделе:</w:t>
      </w:r>
    </w:p>
    <w:bookmarkStart w:id="16" w:name="workflowproject"/>
    <w:p>
      <w:pPr>
        <w:pStyle w:val="Heading2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3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3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3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3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3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3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3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WorkflowProject</dc:title>
  <dc:creator/>
  <cp:keywords/>
  <dcterms:created xsi:type="dcterms:W3CDTF">2026-10-08T18:39:38Z</dcterms:created>
  <dcterms:modified xsi:type="dcterms:W3CDTF">2026-10-08T18:39:38Z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