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&amp;uf(’K… - Раскодировка через справочник (меню)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k---раскодировка-через-справочник-меню"/>
    <w:p>
      <w:pPr>
        <w:pStyle w:val="Heading1"/>
      </w:pPr>
      <w:r>
        <w:t xml:space="preserve">&amp;uf(’K… - Раскодировка через справочник (меню)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Раскодировка через справочник (меню)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K&lt;имя_меню&gt;\&lt;исх_значение&gt;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&lt;разделитель&gt; между &lt;имя_справочника&gt; и &lt;исх_значение&gt; может быть двух видов:</w:t>
      </w:r>
      <w:r>
        <w:t xml:space="preserve"> </w:t>
      </w:r>
      <w:r>
        <w:t xml:space="preserve">*  - раскодировка с учетом регистра,</w:t>
      </w:r>
      <w:r>
        <w:t xml:space="preserve"> </w:t>
      </w:r>
      <w:r>
        <w:t xml:space="preserve">* ! - раскодировка без учета регистра.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&amp;unifor("Kjz.mnu\"v101)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&amp;uf(’K… - Раскодировка через справочник (меню)</dc:title>
  <dc:creator/>
  <cp:keywords/>
  <dcterms:created xsi:type="dcterms:W3CDTF">2026-10-03T14:42:07Z</dcterms:created>
  <dcterms:modified xsi:type="dcterms:W3CDTF">2026-10-03T14:42:07Z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