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6-НК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-6-нк"/>
    <w:p>
      <w:pPr>
        <w:pStyle w:val="Heading1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9" w:name="что-входит-в-поставку"/>
    <w:p>
      <w:pPr>
        <w:pStyle w:val="Heading2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1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1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1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1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1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9"/>
    <w:bookmarkStart w:id="10" w:name="структура-записи"/>
    <w:p>
      <w:pPr>
        <w:pStyle w:val="Heading2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10"/>
    <w:bookmarkStart w:id="11" w:name="подключение-в-модуле-stat"/>
    <w:p>
      <w:pPr>
        <w:pStyle w:val="Heading2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11"/>
    <w:bookmarkStart w:id="12" w:name="автозаполнение-показателей"/>
    <w:p>
      <w:pPr>
        <w:pStyle w:val="Heading2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12"/>
    <w:bookmarkStart w:id="13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6-НК</dc:title>
  <dc:creator/>
  <cp:keywords/>
  <dcterms:created xsi:type="dcterms:W3CDTF">2026-10-09T08:35:42Z</dcterms:created>
  <dcterms:modified xsi:type="dcterms:W3CDTF">2026-10-09T08:35:42Z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