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номера газеты или журнала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dfefd5f918f22ca5cc7e9fd77483c37a14afae"/>
    <w:p>
      <w:pPr>
        <w:pStyle w:val="Heading1"/>
      </w:pPr>
      <w:r>
        <w:t xml:space="preserve">Переход от номера газеты или журнала к сводной записи</w:t>
      </w:r>
    </w:p>
    <w:p>
      <w:pPr>
        <w:pStyle w:val="FirstParagraph"/>
      </w:pPr>
      <w:r>
        <w:t xml:space="preserve">Если текущая запись описывает отдельный номер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сводному описанию журнала/газеты</w:t>
      </w:r>
      <w:r>
        <w:t xml:space="preserve">. Она открывает связанную запись общего описания издания.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Переход от записи номера газеты или журнала к записи общего описания" title="Переход от записи номера газеты или журнала к записи обще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записи номера газеты или журнала к записи общего описания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номера газеты или журнала к сводной записи</dc:title>
  <dc:creator/>
  <cp:keywords/>
  <dcterms:created xsi:type="dcterms:W3CDTF">2026-10-03T06:04:20Z</dcterms:created>
  <dcterms:modified xsi:type="dcterms:W3CDTF">2026-10-03T06:04:20Z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