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зрачная-авторизация-из-внешних-систем"/>
    <w:p>
      <w:pPr>
        <w:pStyle w:val="Heading1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9" w:name="настройка-ключей"/>
    <w:p>
      <w:pPr>
        <w:pStyle w:val="Heading2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9"/>
    <w:bookmarkStart w:id="10" w:name="параметры-ссылки"/>
    <w:p>
      <w:pPr>
        <w:pStyle w:val="Heading2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0"/>
    <w:bookmarkStart w:id="11" w:name="проверка-входа"/>
    <w:p>
      <w:pPr>
        <w:pStyle w:val="Heading2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1"/>
    <w:bookmarkStart w:id="12" w:name="практические-рекомендации"/>
    <w:p>
      <w:pPr>
        <w:pStyle w:val="Heading2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2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2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2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2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2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Прозрачная авторизация из внешних систем</dc:title>
  <dc:creator/>
  <cp:keywords/>
  <dcterms:created xsi:type="dcterms:W3CDTF">2026-10-03T20:11:16Z</dcterms:created>
  <dcterms:modified xsi:type="dcterms:W3CDTF">2026-10-03T20:11:16Z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