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парсера импортируемых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парсера-импортируемых-файлов"/>
    <w:p>
      <w:pPr>
        <w:pStyle w:val="Heading1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9" w:name="что-должен-вернуть-парсер"/>
    <w:p>
      <w:pPr>
        <w:pStyle w:val="Heading2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9"/>
    <w:bookmarkStart w:id="10" w:name="связь-с-функцией-слияния"/>
    <w:p>
      <w:pPr>
        <w:pStyle w:val="Heading2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0"/>
    <w:bookmarkStart w:id="11" w:name="практические-правила"/>
    <w:p>
      <w:pPr>
        <w:pStyle w:val="Heading2"/>
      </w:pPr>
      <w:r>
        <w:t xml:space="preserve">3. Практические правила</w:t>
      </w:r>
    </w:p>
    <w:p>
      <w:pPr>
        <w:pStyle w:val="Compact"/>
        <w:numPr>
          <w:ilvl w:val="0"/>
          <w:numId w:val="1003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3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3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3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парсера импортируемых файлов</dc:title>
  <dc:creator/>
  <cp:keywords/>
  <dcterms:created xsi:type="dcterms:W3CDTF">2026-10-08T23:52:32Z</dcterms:created>
  <dcterms:modified xsi:type="dcterms:W3CDTF">2026-10-08T23:52:32Z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