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ATHRG</w:t>
      </w:r>
      <w:r>
        <w:t xml:space="preserve"> </w:t>
      </w:r>
      <w:r>
        <w:t xml:space="preserve">ведёт авторитетные записи географических названий.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 открываются через полевой редактор и применяются при контроле географических заголовков.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заголовка.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GetATHRGNodes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 </w:t>
      </w:r>
      <w:r>
        <w:t xml:space="preserve">используются как контролируемый источник географических рубрик и связанных вариантов названий.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2026-10-10T00:22:30Z</dcterms:created>
  <dcterms:modified xsi:type="dcterms:W3CDTF">2026-10-10T00:22:30Z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