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Бесшовная авторизация в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бесшовная-авторизация-в-эбс"/>
    <w:p>
      <w:pPr>
        <w:pStyle w:val="Heading1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1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1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1"/>
        </w:numPr>
      </w:pPr>
      <w:r>
        <w:t xml:space="preserve">параметры ЭБС: тип API, токен, ID/PID, хост и даты действия доступа.</w:t>
      </w:r>
    </w:p>
    <w:bookmarkStart w:id="9" w:name="запись-rsu-в-бд-cmpl"/>
    <w:p>
      <w:pPr>
        <w:pStyle w:val="Heading2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9"/>
    <w:bookmarkStart w:id="10" w:name="связь-с-каталогом"/>
    <w:p>
      <w:pPr>
        <w:pStyle w:val="Heading2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10"/>
    <w:bookmarkStart w:id="11" w:name="поддерживаемые-типы-api"/>
    <w:p>
      <w:pPr>
        <w:pStyle w:val="Heading2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11"/>
    <w:bookmarkStart w:id="12" w:name="данные-пользователя"/>
    <w:p>
      <w:pPr>
        <w:pStyle w:val="Heading2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Бесшовная авторизация в ЭБС</dc:title>
  <dc:creator/>
  <cp:keywords/>
  <dcterms:created xsi:type="dcterms:W3CDTF">2026-10-09T22:51:49Z</dcterms:created>
  <dcterms:modified xsi:type="dcterms:W3CDTF">2026-10-09T22:51:49Z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