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[I128-2799] Подготовить TestA-контракты системных JSON и end-to-end сценариев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6" w:name="X820e3bd1d1f122a0bc147c9e37f22c63a17f11d"/>
    <w:p>
      <w:pPr>
        <w:pStyle w:val="Heading1"/>
      </w:pPr>
      <w:r>
        <w:t xml:space="preserve">[I128-2799] Подготовить TestA-контракты системных JSON и end-to-end сценариев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Помощь, ИРБИС 128. Модуль TestA - Тестовый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13:39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Подготовить системные TestA</w:t>
      </w:r>
      <w:r>
        <w:rPr>
          <w:strike/>
        </w:rPr>
        <w:t xml:space="preserve">контракты для проверки system JSON definitions, межмодульных contract tests, golden datasets и end</w:t>
      </w:r>
      <w:r>
        <w:t xml:space="preserve">to-end сценариев первого промышленного контура ИРБИС 128.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TestA является основным механизмом тестирования в системе. Для новых промышленных модулей нельзя вводить частные CLI</w:t>
      </w:r>
      <w:r>
        <w:rPr>
          <w:strike/>
        </w:rPr>
        <w:t xml:space="preserve">обходы и несвязанные сценарии. Каждый модуль</w:t>
      </w:r>
      <w:r>
        <w:t xml:space="preserve">владелец должен поставлять свои сценарии, fixtures, expected results и golden datasets в едином формате, а TestA должен уметь запускать и проверять их согласованно.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Зафиксировать формат TestA scenario package: module owner, system value, scenario key, русское название, цель, входные данные, setup, действия, expected state, cleanup, dependencies и expected artifacts.</w:t>
      </w:r>
    </w:p>
    <w:p>
      <w:pPr>
        <w:numPr>
          <w:ilvl w:val="0"/>
          <w:numId w:val="1002"/>
        </w:numPr>
      </w:pPr>
      <w:r>
        <w:t xml:space="preserve">Зафиксировать формат fixtures: тестовые пользователи, роли, проекты, записи, workflow</w:t>
      </w:r>
      <w:r>
        <w:rPr>
          <w:strike/>
        </w:rPr>
        <w:t xml:space="preserve">конфигурация, файлы, events, queue jobs, rights schemes и health</w:t>
      </w:r>
      <w:r>
        <w:t xml:space="preserve">check results должны создаваться воспроизводимо и изолированно.</w:t>
      </w:r>
    </w:p>
    <w:p>
      <w:pPr>
        <w:numPr>
          <w:ilvl w:val="0"/>
          <w:numId w:val="1002"/>
        </w:numPr>
      </w:pPr>
      <w:r>
        <w:t xml:space="preserve">Зафиксировать expected outcomes: состояние записи, поля, LINK 113, история 907, events, queue jobs, files, security decisions, health-check results, logs/trace evidence и пользовательские сообщения.</w:t>
      </w:r>
    </w:p>
    <w:p>
      <w:pPr>
        <w:numPr>
          <w:ilvl w:val="0"/>
          <w:numId w:val="1002"/>
        </w:numPr>
      </w:pPr>
      <w:r>
        <w:t xml:space="preserve">Поддержать проверку system JSON definitions для Workflow*, Tasks, EventBus, Queue, Security, FT, HealthCheck и других системных поставок.</w:t>
      </w:r>
    </w:p>
    <w:p>
      <w:pPr>
        <w:numPr>
          <w:ilvl w:val="0"/>
          <w:numId w:val="1002"/>
        </w:numPr>
      </w:pPr>
      <w:r>
        <w:t xml:space="preserve">Поддержать golden dataset первого промышленного контура: минимальный набор данных, на котором проверяется создание задачи, workflow-переход, вложение, событие, job, права, история и диагностика.</w:t>
      </w:r>
    </w:p>
    <w:p>
      <w:pPr>
        <w:numPr>
          <w:ilvl w:val="0"/>
          <w:numId w:val="1002"/>
        </w:numPr>
      </w:pPr>
      <w:r>
        <w:t xml:space="preserve">Поддержать пользовательские regression datasets, чтобы воспроизводить найденные ошибки без ручной подготовки базы.</w:t>
      </w:r>
    </w:p>
    <w:p>
      <w:pPr>
        <w:numPr>
          <w:ilvl w:val="0"/>
          <w:numId w:val="1002"/>
        </w:numPr>
      </w:pPr>
      <w:r>
        <w:t xml:space="preserve">Поддержать contract tests между модулями: модуль-потребитель проверяет, что внешний контракт доступен, но не тестирует внутреннюю реализацию чужого модуля.</w:t>
      </w:r>
    </w:p>
    <w:p>
      <w:pPr>
        <w:numPr>
          <w:ilvl w:val="0"/>
          <w:numId w:val="1002"/>
        </w:numPr>
      </w:pPr>
      <w:r>
        <w:t xml:space="preserve">Поддержать CI gate через штатный запуск TestA и стабильный result contract, без отдельного нового CLI, если он не соответствует существующему механизму TestA.</w:t>
      </w:r>
    </w:p>
    <w:p>
      <w:pPr>
        <w:numPr>
          <w:ilvl w:val="0"/>
          <w:numId w:val="1002"/>
        </w:numPr>
      </w:pPr>
      <w:r>
        <w:t xml:space="preserve">Сформировать evidence/reporting: краткий итог, failed checks, expected/actual diff, trace id, ссылки на test artifacts и безопасный diagnostic output.</w:t>
      </w:r>
    </w:p>
    <w:p>
      <w:pPr>
        <w:numPr>
          <w:ilvl w:val="0"/>
          <w:numId w:val="1002"/>
        </w:numPr>
      </w:pPr>
      <w:r>
        <w:t xml:space="preserve">Согласовать Help: администратор должен понимать, как запустить проверки, а разработчик - как добавить сценарий и fixture.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TestA владеет каркасом, форматом сценариев, запуском, отчетом и contract testing conventions.</w:t>
      </w:r>
    </w:p>
    <w:p>
      <w:pPr>
        <w:numPr>
          <w:ilvl w:val="0"/>
          <w:numId w:val="1002"/>
        </w:numPr>
      </w:pPr>
      <w:r>
        <w:t xml:space="preserve">Модули-владельцы владеют своими fixtures, expected results и доменными сценариями.</w:t>
      </w:r>
    </w:p>
    <w:p>
      <w:pPr>
        <w:numPr>
          <w:ilvl w:val="0"/>
          <w:numId w:val="1002"/>
        </w:numPr>
      </w:pPr>
      <w:r>
        <w:t xml:space="preserve">TestA не должен становиться доменным модулем Tasks или Workflow* и не должен знать внутреннюю бизнес-логику за пределами ожидаемого результата сценария.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Новый модуль может поставить scenario package, который запускается штатным TestA без доработки ядра для каждого сценария.</w:t>
      </w:r>
    </w:p>
    <w:p>
      <w:pPr>
        <w:numPr>
          <w:ilvl w:val="0"/>
          <w:numId w:val="1002"/>
        </w:numPr>
      </w:pPr>
      <w:r>
        <w:t xml:space="preserve">System JSON definitions проверяются до публикации или rollout.</w:t>
      </w:r>
    </w:p>
    <w:p>
      <w:pPr>
        <w:numPr>
          <w:ilvl w:val="0"/>
          <w:numId w:val="1002"/>
        </w:numPr>
      </w:pPr>
      <w:r>
        <w:t xml:space="preserve">End</w:t>
      </w:r>
      <w:r>
        <w:rPr>
          <w:strike/>
        </w:rPr>
        <w:t xml:space="preserve">to</w:t>
      </w:r>
      <w:r>
        <w:t xml:space="preserve">end сценарий первого промышленного контура проходит цепочку Workflow* -&gt; Tasks -&gt; EventBus -&gt; Queue -&gt; FT -&gt; Security -&gt; HealthCheck.</w:t>
      </w:r>
    </w:p>
    <w:p>
      <w:pPr>
        <w:numPr>
          <w:ilvl w:val="0"/>
          <w:numId w:val="1002"/>
        </w:numPr>
      </w:pPr>
      <w:r>
        <w:t xml:space="preserve">Golden dataset можно развернуть, проверить, повторно запустить и очистить без ручных действий.</w:t>
      </w:r>
    </w:p>
    <w:p>
      <w:pPr>
        <w:numPr>
          <w:ilvl w:val="0"/>
          <w:numId w:val="1002"/>
        </w:numPr>
      </w:pPr>
      <w:r>
        <w:t xml:space="preserve">Отчет TestA пригоден для CI и для ручной проверки разработчиком: видно, что сломалось, где expected/actual diff и какой trace id связан с ошибкой.</w:t>
      </w:r>
    </w:p>
    <w:p>
      <w:pPr>
        <w:numPr>
          <w:ilvl w:val="0"/>
          <w:numId w:val="1002"/>
        </w:numPr>
      </w:pPr>
      <w:r>
        <w:t xml:space="preserve">Help содержит инструкции для запуска, добавления сценариев и интерпретации типовых ошибок.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В рамках задачи нужно подготовить сами contract tests для формата scenario package, fixtures, expected outcomes, system JSON validation, e2e первого контура, cleanup и reporting. Документация Help должна быть частью результата, а не последующей отдельной доработкой.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промышленный срез развития TestA как общесистемного тестового каркаса.</w:t>
      </w:r>
    </w:p>
    <w:p>
      <w:pPr>
        <w:pStyle w:val="BodyText"/>
      </w:pPr>
      <w:r>
        <w:t xml:space="preserve">Что входит:</w:t>
      </w:r>
      <w:r>
        <w:t xml:space="preserve"> </w:t>
      </w:r>
      <w:r>
        <w:t xml:space="preserve">- нормализованный testInfo/manifest для явных тестов: ownerModule, systemValue, levels, requires, dependencies, frCoverage, tags, fixtures, datasets, expectedArtifacts;</w:t>
      </w:r>
      <w:r>
        <w:t xml:space="preserve"> </w:t>
      </w:r>
      <w:r>
        <w:t xml:space="preserve">- включение testInfo в результаты проверок и опционально в JSON inventory через includeTestInfo=1;</w:t>
      </w:r>
      <w:r>
        <w:t xml:space="preserve"> </w:t>
      </w:r>
      <w:r>
        <w:t xml:space="preserve">- фильтрация GetInventory по module/type/name;</w:t>
      </w:r>
      <w:r>
        <w:t xml:space="preserve"> </w:t>
      </w:r>
      <w:r>
        <w:t xml:space="preserve">- environmentProfile и contractVersion=TestA/1.0 в отчете запуска;</w:t>
      </w:r>
      <w:r>
        <w:t xml:space="preserve"> </w:t>
      </w:r>
      <w:r>
        <w:t xml:space="preserve">- статус unstable в result model и summary;</w:t>
      </w:r>
      <w:r>
        <w:t xml:space="preserve"> </w:t>
      </w:r>
      <w:r>
        <w:t xml:space="preserve">- совместимая трактовка старых строковых requires: только строки, похожие на имя модуля, проверяются как runtime module dependency;</w:t>
      </w:r>
      <w:r>
        <w:t xml:space="preserve"> </w:t>
      </w:r>
      <w:r>
        <w:t xml:space="preserve">- scenario ManifestContract и расширенная самопроверка TestA;</w:t>
      </w:r>
      <w:r>
        <w:t xml:space="preserve"> </w:t>
      </w:r>
      <w:r>
        <w:t xml:space="preserve">- обновление Help по формату GetInfo()/manifest.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TestA не содержит доменную логику Tasks, Workflow*, EventBus, Queue, FT, Security или HealthCheck;</w:t>
      </w:r>
      <w:r>
        <w:t xml:space="preserve"> </w:t>
      </w:r>
      <w:r>
        <w:t xml:space="preserve">- модули</w:t>
      </w:r>
      <w:r>
        <w:rPr>
          <w:strike/>
        </w:rPr>
        <w:t xml:space="preserve">владельцы по</w:t>
      </w:r>
      <w:r>
        <w:t xml:space="preserve">прежнему поставляют свои сценарии, fixtures, datasets и expected results.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для измененных PHP/INC/page файлов TestA;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HTTP module=TestA: total=8, passed=8, failed=0;</w:t>
      </w:r>
      <w:r>
        <w:t xml:space="preserve"> </w:t>
      </w:r>
      <w:r>
        <w:t xml:space="preserve">- TestA HTTP full safe-read testedOnly: total=100, passed=100, failed=0, blocked=0;</w:t>
      </w:r>
      <w:r>
        <w:t xml:space="preserve"> </w:t>
      </w:r>
      <w:r>
        <w:t xml:space="preserve">- JSON inventory includeTestInfo=1 для TestA:scenario:ManifestContract возвращает ownerModule=TestA и contractVersion=TestA/1.0.</w:t>
      </w:r>
    </w:p>
    <w:bookmarkStart w:id="7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1"/>
    <w:p>
      <w:pPr>
        <w:pStyle w:val="Heading3"/>
      </w:pPr>
      <w:r>
        <w:t xml:space="preserve">1.1. 🔗 blocks: I128-2801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2"/>
    <w:p>
      <w:pPr>
        <w:pStyle w:val="Heading3"/>
      </w:pPr>
      <w:r>
        <w:t xml:space="preserve">1.2. 🔗 blocks: I128-2802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[I128-2802]</w:t>
        </w:r>
      </w:hyperlink>
      <w:r>
        <w:t xml:space="preserve"> </w:t>
      </w:r>
      <w:r>
        <w:t xml:space="preserve">Пакет разработчика, Help и TestA для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6"/>
    <w:p>
      <w:pPr>
        <w:pStyle w:val="Heading3"/>
      </w:pPr>
      <w:r>
        <w:t xml:space="preserve">1.3. 🔗 blocks: I128-2806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7"/>
    <w:p>
      <w:pPr>
        <w:pStyle w:val="Heading3"/>
      </w:pPr>
      <w:r>
        <w:t xml:space="preserve">1.4. 🔗 blocks: I128-2807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[I128-2807]</w:t>
        </w:r>
      </w:hyperlink>
      <w:r>
        <w:t xml:space="preserve"> </w:t>
      </w:r>
      <w:r>
        <w:t xml:space="preserve">История значимых полей FieldHistory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08"/>
    <w:p>
      <w:pPr>
        <w:pStyle w:val="Heading3"/>
      </w:pPr>
      <w:r>
        <w:t xml:space="preserve">1.5. 🔗 blocks: I128-2808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09"/>
    <w:p>
      <w:pPr>
        <w:pStyle w:val="Heading3"/>
      </w:pPr>
      <w:r>
        <w:t xml:space="preserve">1.6. 🔗 blocks: I128-2809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0"/>
    <w:p>
      <w:pPr>
        <w:pStyle w:val="Heading3"/>
      </w:pPr>
      <w:r>
        <w:t xml:space="preserve">1.7. 🔗 blocks: I128-2810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1"/>
    <w:p>
      <w:pPr>
        <w:pStyle w:val="Heading3"/>
      </w:pPr>
      <w:r>
        <w:t xml:space="preserve">1.8. 🔗 blocks: I128-2811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4"/>
    <w:p>
      <w:pPr>
        <w:pStyle w:val="Heading3"/>
      </w:pPr>
      <w:r>
        <w:t xml:space="preserve">1.9. 🔗 blocks: I128-2814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16"/>
    <w:p>
      <w:pPr>
        <w:pStyle w:val="Heading3"/>
      </w:pPr>
      <w:r>
        <w:t xml:space="preserve">1.10. 🔗 blocks: I128-2816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[I128-2816]</w:t>
        </w:r>
      </w:hyperlink>
      <w:r>
        <w:t xml:space="preserve"> </w:t>
      </w:r>
      <w:r>
        <w:t xml:space="preserve">Расширить Menu для публикации TaskPortal в навигации и Cabinet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17"/>
    <w:p>
      <w:pPr>
        <w:pStyle w:val="Heading3"/>
      </w:pPr>
      <w:r>
        <w:t xml:space="preserve">1.11. 🔗 blocks: I128-2817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18"/>
    <w:p>
      <w:pPr>
        <w:pStyle w:val="Heading3"/>
      </w:pPr>
      <w:r>
        <w:t xml:space="preserve">1.12. 🔗 blocks: I128-2818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20"/>
    <w:p>
      <w:pPr>
        <w:pStyle w:val="Heading3"/>
      </w:pPr>
      <w:r>
        <w:t xml:space="preserve">1.13. 🔗 blocks: I128-2820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21"/>
    <w:p>
      <w:pPr>
        <w:pStyle w:val="Heading3"/>
      </w:pPr>
      <w:r>
        <w:t xml:space="preserve">1.14. 🔗 blocks: I128-2821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22"/>
    <w:p>
      <w:pPr>
        <w:pStyle w:val="Heading3"/>
      </w:pPr>
      <w:r>
        <w:t xml:space="preserve">1.15. 🔗 blocks: I128-2822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24"/>
    <w:p>
      <w:pPr>
        <w:pStyle w:val="Heading3"/>
      </w:pPr>
      <w:r>
        <w:t xml:space="preserve">1.16. 🔗 blocks: I128-2824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25"/>
    <w:p>
      <w:pPr>
        <w:pStyle w:val="Heading3"/>
      </w:pPr>
      <w:r>
        <w:t xml:space="preserve">1.17. 🔗 blocks: I128-2825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26"/>
    <w:p>
      <w:pPr>
        <w:pStyle w:val="Heading3"/>
      </w:pPr>
      <w:r>
        <w:t xml:space="preserve">1.18. 🔗 blocks: I128-2826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[I128-2826]</w:t>
        </w:r>
      </w:hyperlink>
      <w:r>
        <w:t xml:space="preserve"> </w:t>
      </w:r>
      <w:r>
        <w:t xml:space="preserve">Расширить Help для документации задач, API и эксплуатационных runbook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27"/>
    <w:p>
      <w:pPr>
        <w:pStyle w:val="Heading3"/>
      </w:pPr>
      <w:r>
        <w:t xml:space="preserve">1.19. 🔗 blocks: I128-2827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828"/>
    <w:p>
      <w:pPr>
        <w:pStyle w:val="Heading3"/>
      </w:pPr>
      <w:r>
        <w:t xml:space="preserve">1.20. 🔗 blocks: I128-2828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[I128-2828]</w:t>
        </w:r>
      </w:hyperlink>
      <w:r>
        <w:t xml:space="preserve"> </w:t>
      </w:r>
      <w:r>
        <w:t xml:space="preserve">Расширить Flags для системных feature flags и rollout policy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blocks-i128-2829"/>
    <w:p>
      <w:pPr>
        <w:pStyle w:val="Heading3"/>
      </w:pPr>
      <w:r>
        <w:t xml:space="preserve">1.21. 🔗 blocks: I128-2829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[I128-2829]</w:t>
        </w:r>
      </w:hyperlink>
      <w:r>
        <w:t xml:space="preserve"> </w:t>
      </w:r>
      <w:r>
        <w:t xml:space="preserve">Расширить Security для системного хранения и ротации секретов интеграций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Start w:id="52" w:name="blocks-i128-2830"/>
    <w:p>
      <w:pPr>
        <w:pStyle w:val="Heading3"/>
      </w:pPr>
      <w:r>
        <w:t xml:space="preserve">1.22. 🔗 blocks: I128-2830</w:t>
      </w:r>
    </w:p>
    <w:p>
      <w:pPr>
        <w:pStyle w:val="BlockText"/>
      </w:pPr>
      <w:hyperlink r:id="rId51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2"/>
    <w:bookmarkStart w:id="54" w:name="blocks-i128-2831"/>
    <w:p>
      <w:pPr>
        <w:pStyle w:val="Heading3"/>
      </w:pPr>
      <w:r>
        <w:t xml:space="preserve">1.23. 🔗 blocks: I128-2831</w:t>
      </w:r>
    </w:p>
    <w:p>
      <w:pPr>
        <w:pStyle w:val="BlockText"/>
      </w:pPr>
      <w:hyperlink r:id="rId53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4"/>
    <w:bookmarkStart w:id="56" w:name="blocks-i128-2832"/>
    <w:p>
      <w:pPr>
        <w:pStyle w:val="Heading3"/>
      </w:pPr>
      <w:r>
        <w:t xml:space="preserve">1.24. 🔗 blocks: I128-2832</w:t>
      </w:r>
    </w:p>
    <w:p>
      <w:pPr>
        <w:pStyle w:val="BlockText"/>
      </w:pPr>
      <w:hyperlink r:id="rId55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6"/>
    <w:bookmarkStart w:id="58" w:name="blocks-i128-2833"/>
    <w:p>
      <w:pPr>
        <w:pStyle w:val="Heading3"/>
      </w:pPr>
      <w:r>
        <w:t xml:space="preserve">1.25. 🔗 blocks: I128-2833</w:t>
      </w:r>
    </w:p>
    <w:p>
      <w:pPr>
        <w:pStyle w:val="BlockText"/>
      </w:pPr>
      <w:hyperlink r:id="rId57">
        <w:r>
          <w:rPr>
            <w:rStyle w:val="Hyperlink"/>
            <w:b/>
            <w:bCs/>
          </w:rPr>
          <w:t xml:space="preserve">[I128-2833]</w:t>
        </w:r>
      </w:hyperlink>
      <w:r>
        <w:t xml:space="preserve"> </w:t>
      </w:r>
      <w:r>
        <w:t xml:space="preserve">AI-governance core: policy runtime и реестр AI-операций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8"/>
    <w:bookmarkStart w:id="60" w:name="blocks-i128-2834"/>
    <w:p>
      <w:pPr>
        <w:pStyle w:val="Heading3"/>
      </w:pPr>
      <w:r>
        <w:t xml:space="preserve">1.26. 🔗 blocks: I128-2834</w:t>
      </w:r>
    </w:p>
    <w:p>
      <w:pPr>
        <w:pStyle w:val="BlockText"/>
      </w:pPr>
      <w:hyperlink r:id="rId59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0"/>
    <w:bookmarkStart w:id="62" w:name="blocks-i128-2835"/>
    <w:p>
      <w:pPr>
        <w:pStyle w:val="Heading3"/>
      </w:pPr>
      <w:r>
        <w:t xml:space="preserve">1.27. 🔗 blocks: I128-2835</w:t>
      </w:r>
    </w:p>
    <w:p>
      <w:pPr>
        <w:pStyle w:val="BlockText"/>
      </w:pPr>
      <w:hyperlink r:id="rId61">
        <w:r>
          <w:rPr>
            <w:rStyle w:val="Hyperlink"/>
            <w:b/>
            <w:bCs/>
          </w:rPr>
          <w:t xml:space="preserve">[I128-2835]</w:t>
        </w:r>
      </w:hyperlink>
      <w:r>
        <w:t xml:space="preserve"> </w:t>
      </w:r>
      <w:r>
        <w:t xml:space="preserve">AIPrompt registry и versioning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2"/>
    <w:bookmarkStart w:id="64" w:name="blocks-i128-2836"/>
    <w:p>
      <w:pPr>
        <w:pStyle w:val="Heading3"/>
      </w:pPr>
      <w:r>
        <w:t xml:space="preserve">1.28. 🔗 blocks: I128-2836</w:t>
      </w:r>
    </w:p>
    <w:p>
      <w:pPr>
        <w:pStyle w:val="BlockText"/>
      </w:pPr>
      <w:hyperlink r:id="rId63">
        <w:r>
          <w:rPr>
            <w:rStyle w:val="Hyperlink"/>
            <w:b/>
            <w:bCs/>
          </w:rPr>
          <w:t xml:space="preserve">[I128-2836]</w:t>
        </w:r>
      </w:hyperlink>
      <w:r>
        <w:t xml:space="preserve"> </w:t>
      </w:r>
      <w:r>
        <w:t xml:space="preserve">AIProvider/AIModel policy и routing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4"/>
    <w:bookmarkStart w:id="66" w:name="blocks-i128-2837"/>
    <w:p>
      <w:pPr>
        <w:pStyle w:val="Heading3"/>
      </w:pPr>
      <w:r>
        <w:t xml:space="preserve">1.29. 🔗 blocks: I128-2837</w:t>
      </w:r>
    </w:p>
    <w:p>
      <w:pPr>
        <w:pStyle w:val="BlockText"/>
      </w:pPr>
      <w:hyperlink r:id="rId65">
        <w:r>
          <w:rPr>
            <w:rStyle w:val="Hyperlink"/>
            <w:b/>
            <w:bCs/>
          </w:rPr>
          <w:t xml:space="preserve">[I128-2837]</w:t>
        </w:r>
      </w:hyperlink>
      <w:r>
        <w:t xml:space="preserve"> </w:t>
      </w:r>
      <w:r>
        <w:t xml:space="preserve">AITool policy и safe execution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6"/>
    <w:bookmarkStart w:id="68" w:name="blocks-i128-2838"/>
    <w:p>
      <w:pPr>
        <w:pStyle w:val="Heading3"/>
      </w:pPr>
      <w:r>
        <w:t xml:space="preserve">1.30. 🔗 blocks: I128-2838</w:t>
      </w:r>
    </w:p>
    <w:p>
      <w:pPr>
        <w:pStyle w:val="BlockText"/>
      </w:pPr>
      <w:hyperlink r:id="rId67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8"/>
    <w:bookmarkStart w:id="70" w:name="blocks-i128-2839"/>
    <w:p>
      <w:pPr>
        <w:pStyle w:val="Heading3"/>
      </w:pPr>
      <w:r>
        <w:t xml:space="preserve">1.31. 🔗 blocks: I128-2839</w:t>
      </w:r>
    </w:p>
    <w:p>
      <w:pPr>
        <w:pStyle w:val="BlockText"/>
      </w:pPr>
      <w:hyperlink r:id="rId69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0"/>
    <w:bookmarkStart w:id="72" w:name="blocks-i128-2840"/>
    <w:p>
      <w:pPr>
        <w:pStyle w:val="Heading3"/>
      </w:pPr>
      <w:r>
        <w:t xml:space="preserve">1.32. 🔗 blocks: I128-2840</w:t>
      </w:r>
    </w:p>
    <w:p>
      <w:pPr>
        <w:pStyle w:val="BlockText"/>
      </w:pPr>
      <w:hyperlink r:id="rId71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2"/>
    <w:bookmarkStart w:id="74" w:name="blocks-i128-2798"/>
    <w:p>
      <w:pPr>
        <w:pStyle w:val="Heading3"/>
      </w:pPr>
      <w:r>
        <w:t xml:space="preserve">1.33. 🔗 blocks: I128-2798</w:t>
      </w:r>
    </w:p>
    <w:p>
      <w:pPr>
        <w:pStyle w:val="BlockText"/>
      </w:pPr>
      <w:hyperlink r:id="rId73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4"/>
    <w:bookmarkEnd w:id="75"/>
    <w:bookmarkEnd w:id="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3" Target="?id=Help/Show&amp;m=Help/GeneralDescription/WhatsNew/I128/TaskInfo/I128-2798/README" TargetMode="External" /><Relationship Type="http://schemas.openxmlformats.org/officeDocument/2006/relationships/hyperlink" Id="rId9" Target="?id=Help/Show&amp;m=Help/GeneralDescription/WhatsNew/I128/TaskInfo/I128-2801/README" TargetMode="External" /><Relationship Type="http://schemas.openxmlformats.org/officeDocument/2006/relationships/hyperlink" Id="rId11" Target="?id=Help/Show&amp;m=Help/GeneralDescription/WhatsNew/I128/TaskInfo/I128-2802/README" TargetMode="External" /><Relationship Type="http://schemas.openxmlformats.org/officeDocument/2006/relationships/hyperlink" Id="rId13" Target="?id=Help/Show&amp;m=Help/GeneralDescription/WhatsNew/I128/TaskInfo/I128-2806/README" TargetMode="External" /><Relationship Type="http://schemas.openxmlformats.org/officeDocument/2006/relationships/hyperlink" Id="rId15" Target="?id=Help/Show&amp;m=Help/GeneralDescription/WhatsNew/I128/TaskInfo/I128-2807/README" TargetMode="External" /><Relationship Type="http://schemas.openxmlformats.org/officeDocument/2006/relationships/hyperlink" Id="rId17" Target="?id=Help/Show&amp;m=Help/GeneralDescription/WhatsNew/I128/TaskInfo/I128-2808/README" TargetMode="External" /><Relationship Type="http://schemas.openxmlformats.org/officeDocument/2006/relationships/hyperlink" Id="rId19" Target="?id=Help/Show&amp;m=Help/GeneralDescription/WhatsNew/I128/TaskInfo/I128-2809/README" TargetMode="External" /><Relationship Type="http://schemas.openxmlformats.org/officeDocument/2006/relationships/hyperlink" Id="rId21" Target="?id=Help/Show&amp;m=Help/GeneralDescription/WhatsNew/I128/TaskInfo/I128-2810/README" TargetMode="External" /><Relationship Type="http://schemas.openxmlformats.org/officeDocument/2006/relationships/hyperlink" Id="rId23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4/README" TargetMode="External" /><Relationship Type="http://schemas.openxmlformats.org/officeDocument/2006/relationships/hyperlink" Id="rId27" Target="?id=Help/Show&amp;m=Help/GeneralDescription/WhatsNew/I128/TaskInfo/I128-2816/README" TargetMode="External" /><Relationship Type="http://schemas.openxmlformats.org/officeDocument/2006/relationships/hyperlink" Id="rId29" Target="?id=Help/Show&amp;m=Help/GeneralDescription/WhatsNew/I128/TaskInfo/I128-2817/README" TargetMode="External" /><Relationship Type="http://schemas.openxmlformats.org/officeDocument/2006/relationships/hyperlink" Id="rId31" Target="?id=Help/Show&amp;m=Help/GeneralDescription/WhatsNew/I128/TaskInfo/I128-2818/README" TargetMode="External" /><Relationship Type="http://schemas.openxmlformats.org/officeDocument/2006/relationships/hyperlink" Id="rId33" Target="?id=Help/Show&amp;m=Help/GeneralDescription/WhatsNew/I128/TaskInfo/I128-2820/README" TargetMode="External" /><Relationship Type="http://schemas.openxmlformats.org/officeDocument/2006/relationships/hyperlink" Id="rId35" Target="?id=Help/Show&amp;m=Help/GeneralDescription/WhatsNew/I128/TaskInfo/I128-2821/README" TargetMode="External" /><Relationship Type="http://schemas.openxmlformats.org/officeDocument/2006/relationships/hyperlink" Id="rId37" Target="?id=Help/Show&amp;m=Help/GeneralDescription/WhatsNew/I128/TaskInfo/I128-2822/README" TargetMode="External" /><Relationship Type="http://schemas.openxmlformats.org/officeDocument/2006/relationships/hyperlink" Id="rId39" Target="?id=Help/Show&amp;m=Help/GeneralDescription/WhatsNew/I128/TaskInfo/I128-2824/README" TargetMode="External" /><Relationship Type="http://schemas.openxmlformats.org/officeDocument/2006/relationships/hyperlink" Id="rId41" Target="?id=Help/Show&amp;m=Help/GeneralDescription/WhatsNew/I128/TaskInfo/I128-2825/README" TargetMode="External" /><Relationship Type="http://schemas.openxmlformats.org/officeDocument/2006/relationships/hyperlink" Id="rId43" Target="?id=Help/Show&amp;m=Help/GeneralDescription/WhatsNew/I128/TaskInfo/I128-2826/README" TargetMode="External" /><Relationship Type="http://schemas.openxmlformats.org/officeDocument/2006/relationships/hyperlink" Id="rId45" Target="?id=Help/Show&amp;m=Help/GeneralDescription/WhatsNew/I128/TaskInfo/I128-2827/README" TargetMode="External" /><Relationship Type="http://schemas.openxmlformats.org/officeDocument/2006/relationships/hyperlink" Id="rId47" Target="?id=Help/Show&amp;m=Help/GeneralDescription/WhatsNew/I128/TaskInfo/I128-2828/README" TargetMode="External" /><Relationship Type="http://schemas.openxmlformats.org/officeDocument/2006/relationships/hyperlink" Id="rId49" Target="?id=Help/Show&amp;m=Help/GeneralDescription/WhatsNew/I128/TaskInfo/I128-2829/README" TargetMode="External" /><Relationship Type="http://schemas.openxmlformats.org/officeDocument/2006/relationships/hyperlink" Id="rId51" Target="?id=Help/Show&amp;m=Help/GeneralDescription/WhatsNew/I128/TaskInfo/I128-2830/README" TargetMode="External" /><Relationship Type="http://schemas.openxmlformats.org/officeDocument/2006/relationships/hyperlink" Id="rId53" Target="?id=Help/Show&amp;m=Help/GeneralDescription/WhatsNew/I128/TaskInfo/I128-2831/README" TargetMode="External" /><Relationship Type="http://schemas.openxmlformats.org/officeDocument/2006/relationships/hyperlink" Id="rId55" Target="?id=Help/Show&amp;m=Help/GeneralDescription/WhatsNew/I128/TaskInfo/I128-2832/README" TargetMode="External" /><Relationship Type="http://schemas.openxmlformats.org/officeDocument/2006/relationships/hyperlink" Id="rId57" Target="?id=Help/Show&amp;m=Help/GeneralDescription/WhatsNew/I128/TaskInfo/I128-2833/README" TargetMode="External" /><Relationship Type="http://schemas.openxmlformats.org/officeDocument/2006/relationships/hyperlink" Id="rId59" Target="?id=Help/Show&amp;m=Help/GeneralDescription/WhatsNew/I128/TaskInfo/I128-2834/README" TargetMode="External" /><Relationship Type="http://schemas.openxmlformats.org/officeDocument/2006/relationships/hyperlink" Id="rId61" Target="?id=Help/Show&amp;m=Help/GeneralDescription/WhatsNew/I128/TaskInfo/I128-2835/README" TargetMode="External" /><Relationship Type="http://schemas.openxmlformats.org/officeDocument/2006/relationships/hyperlink" Id="rId63" Target="?id=Help/Show&amp;m=Help/GeneralDescription/WhatsNew/I128/TaskInfo/I128-2836/README" TargetMode="External" /><Relationship Type="http://schemas.openxmlformats.org/officeDocument/2006/relationships/hyperlink" Id="rId65" Target="?id=Help/Show&amp;m=Help/GeneralDescription/WhatsNew/I128/TaskInfo/I128-2837/README" TargetMode="External" /><Relationship Type="http://schemas.openxmlformats.org/officeDocument/2006/relationships/hyperlink" Id="rId67" Target="?id=Help/Show&amp;m=Help/GeneralDescription/WhatsNew/I128/TaskInfo/I128-2838/README" TargetMode="External" /><Relationship Type="http://schemas.openxmlformats.org/officeDocument/2006/relationships/hyperlink" Id="rId69" Target="?id=Help/Show&amp;m=Help/GeneralDescription/WhatsNew/I128/TaskInfo/I128-2839/README" TargetMode="External" /><Relationship Type="http://schemas.openxmlformats.org/officeDocument/2006/relationships/hyperlink" Id="rId71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3" Target="?id=Help/Show&amp;m=Help/GeneralDescription/WhatsNew/I128/TaskInfo/I128-2798/README" TargetMode="External" /><Relationship Type="http://schemas.openxmlformats.org/officeDocument/2006/relationships/hyperlink" Id="rId9" Target="?id=Help/Show&amp;m=Help/GeneralDescription/WhatsNew/I128/TaskInfo/I128-2801/README" TargetMode="External" /><Relationship Type="http://schemas.openxmlformats.org/officeDocument/2006/relationships/hyperlink" Id="rId11" Target="?id=Help/Show&amp;m=Help/GeneralDescription/WhatsNew/I128/TaskInfo/I128-2802/README" TargetMode="External" /><Relationship Type="http://schemas.openxmlformats.org/officeDocument/2006/relationships/hyperlink" Id="rId13" Target="?id=Help/Show&amp;m=Help/GeneralDescription/WhatsNew/I128/TaskInfo/I128-2806/README" TargetMode="External" /><Relationship Type="http://schemas.openxmlformats.org/officeDocument/2006/relationships/hyperlink" Id="rId15" Target="?id=Help/Show&amp;m=Help/GeneralDescription/WhatsNew/I128/TaskInfo/I128-2807/README" TargetMode="External" /><Relationship Type="http://schemas.openxmlformats.org/officeDocument/2006/relationships/hyperlink" Id="rId17" Target="?id=Help/Show&amp;m=Help/GeneralDescription/WhatsNew/I128/TaskInfo/I128-2808/README" TargetMode="External" /><Relationship Type="http://schemas.openxmlformats.org/officeDocument/2006/relationships/hyperlink" Id="rId19" Target="?id=Help/Show&amp;m=Help/GeneralDescription/WhatsNew/I128/TaskInfo/I128-2809/README" TargetMode="External" /><Relationship Type="http://schemas.openxmlformats.org/officeDocument/2006/relationships/hyperlink" Id="rId21" Target="?id=Help/Show&amp;m=Help/GeneralDescription/WhatsNew/I128/TaskInfo/I128-2810/README" TargetMode="External" /><Relationship Type="http://schemas.openxmlformats.org/officeDocument/2006/relationships/hyperlink" Id="rId23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4/README" TargetMode="External" /><Relationship Type="http://schemas.openxmlformats.org/officeDocument/2006/relationships/hyperlink" Id="rId27" Target="?id=Help/Show&amp;m=Help/GeneralDescription/WhatsNew/I128/TaskInfo/I128-2816/README" TargetMode="External" /><Relationship Type="http://schemas.openxmlformats.org/officeDocument/2006/relationships/hyperlink" Id="rId29" Target="?id=Help/Show&amp;m=Help/GeneralDescription/WhatsNew/I128/TaskInfo/I128-2817/README" TargetMode="External" /><Relationship Type="http://schemas.openxmlformats.org/officeDocument/2006/relationships/hyperlink" Id="rId31" Target="?id=Help/Show&amp;m=Help/GeneralDescription/WhatsNew/I128/TaskInfo/I128-2818/README" TargetMode="External" /><Relationship Type="http://schemas.openxmlformats.org/officeDocument/2006/relationships/hyperlink" Id="rId33" Target="?id=Help/Show&amp;m=Help/GeneralDescription/WhatsNew/I128/TaskInfo/I128-2820/README" TargetMode="External" /><Relationship Type="http://schemas.openxmlformats.org/officeDocument/2006/relationships/hyperlink" Id="rId35" Target="?id=Help/Show&amp;m=Help/GeneralDescription/WhatsNew/I128/TaskInfo/I128-2821/README" TargetMode="External" /><Relationship Type="http://schemas.openxmlformats.org/officeDocument/2006/relationships/hyperlink" Id="rId37" Target="?id=Help/Show&amp;m=Help/GeneralDescription/WhatsNew/I128/TaskInfo/I128-2822/README" TargetMode="External" /><Relationship Type="http://schemas.openxmlformats.org/officeDocument/2006/relationships/hyperlink" Id="rId39" Target="?id=Help/Show&amp;m=Help/GeneralDescription/WhatsNew/I128/TaskInfo/I128-2824/README" TargetMode="External" /><Relationship Type="http://schemas.openxmlformats.org/officeDocument/2006/relationships/hyperlink" Id="rId41" Target="?id=Help/Show&amp;m=Help/GeneralDescription/WhatsNew/I128/TaskInfo/I128-2825/README" TargetMode="External" /><Relationship Type="http://schemas.openxmlformats.org/officeDocument/2006/relationships/hyperlink" Id="rId43" Target="?id=Help/Show&amp;m=Help/GeneralDescription/WhatsNew/I128/TaskInfo/I128-2826/README" TargetMode="External" /><Relationship Type="http://schemas.openxmlformats.org/officeDocument/2006/relationships/hyperlink" Id="rId45" Target="?id=Help/Show&amp;m=Help/GeneralDescription/WhatsNew/I128/TaskInfo/I128-2827/README" TargetMode="External" /><Relationship Type="http://schemas.openxmlformats.org/officeDocument/2006/relationships/hyperlink" Id="rId47" Target="?id=Help/Show&amp;m=Help/GeneralDescription/WhatsNew/I128/TaskInfo/I128-2828/README" TargetMode="External" /><Relationship Type="http://schemas.openxmlformats.org/officeDocument/2006/relationships/hyperlink" Id="rId49" Target="?id=Help/Show&amp;m=Help/GeneralDescription/WhatsNew/I128/TaskInfo/I128-2829/README" TargetMode="External" /><Relationship Type="http://schemas.openxmlformats.org/officeDocument/2006/relationships/hyperlink" Id="rId51" Target="?id=Help/Show&amp;m=Help/GeneralDescription/WhatsNew/I128/TaskInfo/I128-2830/README" TargetMode="External" /><Relationship Type="http://schemas.openxmlformats.org/officeDocument/2006/relationships/hyperlink" Id="rId53" Target="?id=Help/Show&amp;m=Help/GeneralDescription/WhatsNew/I128/TaskInfo/I128-2831/README" TargetMode="External" /><Relationship Type="http://schemas.openxmlformats.org/officeDocument/2006/relationships/hyperlink" Id="rId55" Target="?id=Help/Show&amp;m=Help/GeneralDescription/WhatsNew/I128/TaskInfo/I128-2832/README" TargetMode="External" /><Relationship Type="http://schemas.openxmlformats.org/officeDocument/2006/relationships/hyperlink" Id="rId57" Target="?id=Help/Show&amp;m=Help/GeneralDescription/WhatsNew/I128/TaskInfo/I128-2833/README" TargetMode="External" /><Relationship Type="http://schemas.openxmlformats.org/officeDocument/2006/relationships/hyperlink" Id="rId59" Target="?id=Help/Show&amp;m=Help/GeneralDescription/WhatsNew/I128/TaskInfo/I128-2834/README" TargetMode="External" /><Relationship Type="http://schemas.openxmlformats.org/officeDocument/2006/relationships/hyperlink" Id="rId61" Target="?id=Help/Show&amp;m=Help/GeneralDescription/WhatsNew/I128/TaskInfo/I128-2835/README" TargetMode="External" /><Relationship Type="http://schemas.openxmlformats.org/officeDocument/2006/relationships/hyperlink" Id="rId63" Target="?id=Help/Show&amp;m=Help/GeneralDescription/WhatsNew/I128/TaskInfo/I128-2836/README" TargetMode="External" /><Relationship Type="http://schemas.openxmlformats.org/officeDocument/2006/relationships/hyperlink" Id="rId65" Target="?id=Help/Show&amp;m=Help/GeneralDescription/WhatsNew/I128/TaskInfo/I128-2837/README" TargetMode="External" /><Relationship Type="http://schemas.openxmlformats.org/officeDocument/2006/relationships/hyperlink" Id="rId67" Target="?id=Help/Show&amp;m=Help/GeneralDescription/WhatsNew/I128/TaskInfo/I128-2838/README" TargetMode="External" /><Relationship Type="http://schemas.openxmlformats.org/officeDocument/2006/relationships/hyperlink" Id="rId69" Target="?id=Help/Show&amp;m=Help/GeneralDescription/WhatsNew/I128/TaskInfo/I128-2839/README" TargetMode="External" /><Relationship Type="http://schemas.openxmlformats.org/officeDocument/2006/relationships/hyperlink" Id="rId71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[I128-2799] Подготовить TestA-контракты системных JSON и end-to-end сценариев</dc:title>
  <dc:creator/>
  <cp:keywords/>
  <dcterms:created xsi:type="dcterms:W3CDTF">2026-10-08T22:01:37Z</dcterms:created>
  <dcterms:modified xsi:type="dcterms:W3CDTF">2026-10-08T22:01:37Z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