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28a6206b8f7252548bc57a4095bfa31bcde9ed"/>
    <w:p>
      <w:pPr>
        <w:pStyle w:val="Heading1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239"/>
    <w:p>
      <w:pPr>
        <w:pStyle w:val="Heading3"/>
      </w:pPr>
      <w:r>
        <w:t xml:space="preserve">1.2. 🔗 Соответствует задача: I128-2239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[I128-2237] Расширение типов ограничений доступа: предупреждение о психотропных и наркотических веществах</dc:title>
  <dc:creator/>
  <cp:keywords/>
  <dcterms:created xsi:type="dcterms:W3CDTF">2026-10-10T05:14:02Z</dcterms:created>
  <dcterms:modified xsi:type="dcterms:W3CDTF">2026-10-10T05:14:02Z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