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[I128-1838] Признак иностранного агента в авторитетных файлах ATHRA и ATHRC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a4c8adfab1c29fcec173f45f6a2ded435221b"/>
    <w:p>
      <w:pPr>
        <w:pStyle w:val="Heading1"/>
      </w:pPr>
      <w:r>
        <w:t xml:space="preserve">[I128-1838] Признак иностранного агента в авторитетных файлах ATHRA и ATHRC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ATHRA/ForeignAgent</w:t>
      </w:r>
      <w:r>
        <w:t xml:space="preserve"> </w:t>
      </w:r>
      <w:r>
        <w:t xml:space="preserve">- признак иностранного агента для индивидуальных авторов.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ATHRC/ForeignAgent</w:t>
      </w:r>
      <w:r>
        <w:t xml:space="preserve"> </w:t>
      </w:r>
      <w:r>
        <w:t xml:space="preserve">- признак иностранного агента для коллективных авторов и организаций.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ATHRA/Root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ATHRA/Purpose</w:t>
      </w:r>
      <w:r>
        <w:t xml:space="preserve"> </w:t>
      </w:r>
      <w:r>
        <w:t xml:space="preserve">- добавлен переход к разделу про признак иностранного агента.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ATHRC/Root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ATHRC/Purpose</w:t>
      </w:r>
      <w:r>
        <w:t xml:space="preserve"> </w:t>
      </w:r>
      <w:r>
        <w:t xml:space="preserve">- добавлен переход к разделу про признак иностранного агента.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10. Разделы объясняют связь признака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, использование служебного признака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в авторитетной записи и порядок проверки данных, если перед автором или организацией появляется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24"/>
    <w:p>
      <w:pPr>
        <w:pStyle w:val="Heading3"/>
      </w:pPr>
      <w:r>
        <w:t xml:space="preserve">1.1. 🔗 Соответствует задача: I128-1824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[I128-1824]</w:t>
        </w:r>
      </w:hyperlink>
      <w:r>
        <w:t xml:space="preserve"> </w:t>
      </w:r>
      <w:r>
        <w:t xml:space="preserve">Перед авторами-Иноагентами появляется !,при использовании метода ввода 10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[I128-1838] Признак иностранного агента в авторитетных файлах ATHRA и ATHRC</dc:title>
  <dc:creator/>
  <cp:keywords/>
  <dcterms:created xsi:type="dcterms:W3CDTF">2026-10-10T00:59:34Z</dcterms:created>
  <dcterms:modified xsi:type="dcterms:W3CDTF">2026-10-10T00:59:34Z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