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Permission Decision Contract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permission-decision-contract"/>
    <w:p>
      <w:pPr>
        <w:pStyle w:val="Heading1"/>
      </w:pPr>
      <w:r>
        <w:t xml:space="preserve">Permission Decision Contract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предоставляет общий контракт проверки доступа для UI, API, workflow runtime, публичных форм, фильтров и экспорта. Контракт не содержит знаний о задачах, workflow, файлах или других доменных объектах: вызывающий модуль передает субъект, объект, ключ права, область проверки и контекст.</w:t>
      </w:r>
    </w:p>
    <w:p>
      <w:pPr>
        <w:pStyle w:val="BodyText"/>
      </w:pPr>
      <w:r>
        <w:t xml:space="preserve">Основной результат проверки -</w:t>
      </w:r>
      <w:r>
        <w:t xml:space="preserve"> </w:t>
      </w:r>
      <w:r>
        <w:rPr>
          <w:rStyle w:val="VerbatimChar"/>
        </w:rPr>
        <w:t xml:space="preserve">SecurityAccessDecision</w:t>
      </w:r>
      <w:r>
        <w:t xml:space="preserve">. В нем фиксируются</w:t>
      </w:r>
      <w:r>
        <w:t xml:space="preserve"> </w:t>
      </w:r>
      <w:r>
        <w:rPr>
          <w:rStyle w:val="VerbatimChar"/>
        </w:rPr>
        <w:t xml:space="preserve">allowed</w:t>
      </w:r>
      <w:r>
        <w:t xml:space="preserve">,</w:t>
      </w:r>
      <w:r>
        <w:t xml:space="preserve"> </w:t>
      </w:r>
      <w:r>
        <w:rPr>
          <w:rStyle w:val="VerbatimChar"/>
        </w:rPr>
        <w:t xml:space="preserve">decision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permissionKey</w:t>
      </w:r>
      <w:r>
        <w:t xml:space="preserve">,</w:t>
      </w:r>
      <w:r>
        <w:t xml:space="preserve"> </w:t>
      </w:r>
      <w:r>
        <w:rPr>
          <w:rStyle w:val="VerbatimChar"/>
        </w:rPr>
        <w:t xml:space="preserve">scope</w:t>
      </w:r>
      <w:r>
        <w:t xml:space="preserve">, безопасная причина отказа или разрешения, diagnostic code, object reference, subject reference и признак необходимости audit.</w:t>
      </w:r>
    </w:p>
    <w:p>
      <w:pPr>
        <w:pStyle w:val="BodyText"/>
      </w:pPr>
      <w:r>
        <w:t xml:space="preserve">Поддерживаемые решения: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Решение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</w:t>
            </w:r>
          </w:p>
        </w:tc>
        <w:tc>
          <w:tcPr/>
          <w:p>
            <w:pPr>
              <w:pStyle w:val="Compact"/>
            </w:pPr>
            <w:r>
              <w:t xml:space="preserve">действие разрешено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deny</w:t>
            </w:r>
          </w:p>
        </w:tc>
        <w:tc>
          <w:tcPr/>
          <w:p>
            <w:pPr>
              <w:pStyle w:val="Compact"/>
            </w:pPr>
            <w:r>
              <w:t xml:space="preserve">действие запрещено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значение можно показать только в маскированном виде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readonly</w:t>
            </w:r>
          </w:p>
        </w:tc>
        <w:tc>
          <w:tcPr/>
          <w:p>
            <w:pPr>
              <w:pStyle w:val="Compact"/>
            </w:pPr>
            <w:r>
              <w:t xml:space="preserve">объект или поле доступно только для чтения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not-applicable</w:t>
            </w:r>
          </w:p>
        </w:tc>
        <w:tc>
          <w:tcPr/>
          <w:p>
            <w:pPr>
              <w:pStyle w:val="Compact"/>
            </w:pPr>
            <w:r>
              <w:t xml:space="preserve">отдельная схема не задана, вызывающий модуль применяет свое совместимое поведение</w:t>
            </w:r>
          </w:p>
        </w:tc>
      </w:tr>
    </w:tbl>
    <w:p>
      <w:pPr>
        <w:pStyle w:val="BodyText"/>
      </w:pPr>
      <w:r>
        <w:t xml:space="preserve">Для record-level действий без новой схемы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может использовать старые права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чтобы не ломать существующие сценарии. Для новых промышленных контуров рекомендуется передавать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schemeKey</w:t>
      </w:r>
      <w:r>
        <w:t xml:space="preserve">: deny имеет приоритет над grant, wildcard-правило не может перекрыть явный запрет.</w:t>
      </w:r>
    </w:p>
    <w:p>
      <w:pPr>
        <w:pStyle w:val="BodyText"/>
      </w:pPr>
      <w:r>
        <w:t xml:space="preserve">Field security и view security вызываются через</w:t>
      </w:r>
      <w:r>
        <w:t xml:space="preserve"> </w:t>
      </w:r>
      <w:r>
        <w:rPr>
          <w:rStyle w:val="VerbatimChar"/>
        </w:rPr>
        <w:t xml:space="preserve">CheckFieldAccess()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CheckViewAccess()</w:t>
      </w:r>
      <w:r>
        <w:t xml:space="preserve">.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работает с логическими field/view keys и не должен знать физические номера полей предметных записей. Номера полей и способы ввода остаются ответственностью доменного модуля,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.</w:t>
      </w:r>
    </w:p>
    <w:p>
      <w:pPr>
        <w:pStyle w:val="BodyText"/>
      </w:pPr>
      <w:r>
        <w:t xml:space="preserve">Batch-проверка доступна через</w:t>
      </w:r>
      <w:r>
        <w:t xml:space="preserve"> </w:t>
      </w:r>
      <w:r>
        <w:rPr>
          <w:rStyle w:val="VerbatimChar"/>
        </w:rPr>
        <w:t xml:space="preserve">BatchCheckPermissions()</w:t>
      </w:r>
      <w:r>
        <w:t xml:space="preserve">. Она нужна спискам, фильтрам, карточкам и API, чтобы не выполнять тяжелую проверку отдельно для каждого элемента интерфейса.</w:t>
      </w:r>
    </w:p>
    <w:p>
      <w:pPr>
        <w:pStyle w:val="BodyText"/>
      </w:pPr>
      <w:r>
        <w:t xml:space="preserve">Если решение требует audit,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формирует audit envelope без сохранения скрытого содержимого. Постоянное хранение audit, доменная история и события выполняются соответствующими владельцами контуров.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Permission Decision Contract</dc:title>
  <dc:creator/>
  <cp:keywords/>
  <dcterms:created xsi:type="dcterms:W3CDTF">2026-10-08T23:47:30Z</dcterms:created>
  <dcterms:modified xsi:type="dcterms:W3CDTF">2026-10-08T23:47:30Z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