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поступления за период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поступления-за-период"/>
    <w:p>
      <w:pPr>
        <w:pStyle w:val="Heading1"/>
      </w:pPr>
      <w:r>
        <w:t xml:space="preserve">КСУ поступления за период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хранит записи КСУ поступления за период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fp"/>
    <w:p>
      <w:pPr>
        <w:pStyle w:val="Heading2"/>
      </w:pPr>
      <w:r>
        <w:t xml:space="preserve">Назначение KSFP</w:t>
      </w:r>
    </w:p>
    <w:p>
      <w:pPr>
        <w:pStyle w:val="FirstParagraph"/>
      </w:pPr>
      <w:r>
        <w:rPr>
          <w:rStyle w:val="VerbatimChar"/>
        </w:rPr>
        <w:t xml:space="preserve">KSFP</w:t>
      </w:r>
      <w:r>
        <w:t xml:space="preserve"> </w:t>
      </w:r>
      <w:r>
        <w:t xml:space="preserve">является карточным модулем для записей книги суммарного учета поступления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KSFP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поступления за период</dc:title>
  <dc:creator/>
  <cp:keywords/>
  <dcterms:created xsi:type="dcterms:W3CDTF">2026-10-09T11:10:59Z</dcterms:created>
  <dcterms:modified xsi:type="dcterms:W3CDTF">2026-10-09T11:10:59Z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