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Данные и представления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анные-и-представления"/>
    <w:p>
      <w:pPr>
        <w:pStyle w:val="Heading1"/>
      </w:pPr>
      <w:r>
        <w:t xml:space="preserve">Данные и представления</w:t>
      </w:r>
    </w:p>
    <w:bookmarkStart w:id="9" w:name="основные-базы"/>
    <w:p>
      <w:pPr>
        <w:pStyle w:val="Heading2"/>
      </w:pPr>
      <w:r>
        <w:t xml:space="preserve">1. Основные базы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9"/>
    <w:bookmarkStart w:id="10" w:name="основные-поля-support"/>
    <w:p>
      <w:pPr>
        <w:pStyle w:val="Heading2"/>
      </w:pPr>
      <w:r>
        <w:t xml:space="preserve">2. Основные поля SUPPORT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0"/>
    <w:bookmarkStart w:id="11" w:name="форматы"/>
    <w:p>
      <w:pPr>
        <w:pStyle w:val="Heading2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и представления</dc:title>
  <dc:creator/>
  <cp:keywords/>
  <dcterms:created xsi:type="dcterms:W3CDTF">2026-10-09T05:14:04Z</dcterms:created>
  <dcterms:modified xsi:type="dcterms:W3CDTF">2026-10-09T05:14:04Z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