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Администратор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17cea537532b7a200ad86ec05da0a1812394cfb"/>
    <w:p>
      <w:pPr>
        <w:pStyle w:val="Heading1"/>
      </w:pPr>
      <w:r>
        <w:t xml:space="preserve">АРМ Администратор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предназначен для ведения и просмотра событий информационной безопасности, настройки доступа к объектам и передачи событий во внешние журналы.</w:t>
      </w:r>
    </w:p>
    <w:bookmarkStart w:id="13" w:name="протокол-доступа"/>
    <w:p>
      <w:pPr>
        <w:pStyle w:val="Heading2"/>
      </w:pPr>
      <w:r>
        <w:t xml:space="preserve">Протокол доступа</w:t>
      </w:r>
    </w:p>
    <w:p>
      <w:pPr>
        <w:pStyle w:val="FirstParagraph"/>
      </w:pPr>
      <w:r>
        <w:t xml:space="preserve">Протокол доступа ведется во внутренней таблице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связанной с записью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 Таблица инициализируется при запуске модуля и содержит основные атрибуты события информационной безопасности.</w:t>
      </w:r>
    </w:p>
    <w:bookmarkStart w:id="9" w:name="состав-записи-протокола"/>
    <w:p>
      <w:pPr>
        <w:pStyle w:val="Heading3"/>
      </w:pPr>
      <w:r>
        <w:t xml:space="preserve">1. Состав записи протокола</w:t>
      </w:r>
    </w:p>
    <w:p>
      <w:pPr>
        <w:pStyle w:val="FirstParagraph"/>
      </w:pPr>
      <w:r>
        <w:t xml:space="preserve">Каждая запись содержит: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Объект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objectTitle</w:t>
      </w:r>
      <w:r>
        <w:t xml:space="preserve">) - наименование объекта, к которому относится операция;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</w:t>
      </w:r>
      <w:r>
        <w:t xml:space="preserve"> </w:t>
      </w:r>
      <w:r>
        <w:t xml:space="preserve">(</w:t>
      </w:r>
      <w:r>
        <w:rPr>
          <w:rStyle w:val="VerbatimChar"/>
        </w:rPr>
        <w:t xml:space="preserve">objectId</w:t>
      </w:r>
      <w:r>
        <w:t xml:space="preserve">) - технический идентификатор объекта;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Время</w:t>
      </w:r>
      <w:r>
        <w:t xml:space="preserve"> </w:t>
      </w:r>
      <w:r>
        <w:t xml:space="preserve">(</w:t>
      </w:r>
      <w:r>
        <w:rPr>
          <w:rStyle w:val="VerbatimChar"/>
        </w:rPr>
        <w:t xml:space="preserve">time</w:t>
      </w:r>
      <w:r>
        <w:t xml:space="preserve">) - дата и время события;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Операция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operationName</w:t>
      </w:r>
      <w:r>
        <w:t xml:space="preserve">) - наименование выполненной или запрошенной операции;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Результат</w:t>
      </w:r>
      <w:r>
        <w:t xml:space="preserve"> </w:t>
      </w:r>
      <w:r>
        <w:t xml:space="preserve">(</w:t>
      </w:r>
      <w:r>
        <w:rPr>
          <w:rStyle w:val="VerbatimChar"/>
        </w:rPr>
        <w:t xml:space="preserve">operationSuccess</w:t>
      </w:r>
      <w:r>
        <w:t xml:space="preserve">) - успешное выполнение или ошибка;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userName</w:t>
      </w:r>
      <w:r>
        <w:t xml:space="preserve">) - логин пользователя;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IP-адрес пользователя</w:t>
      </w:r>
      <w:r>
        <w:t xml:space="preserve"> </w:t>
      </w:r>
      <w:r>
        <w:t xml:space="preserve">(</w:t>
      </w:r>
      <w:r>
        <w:rPr>
          <w:rStyle w:val="VerbatimChar"/>
        </w:rPr>
        <w:t xml:space="preserve">userIP</w:t>
      </w:r>
      <w:r>
        <w:t xml:space="preserve">) - адрес клиента, с которого выполнена операция.</w:t>
      </w:r>
    </w:p>
    <w:p>
      <w:pPr>
        <w:pStyle w:val="FirstParagraph"/>
      </w:pPr>
      <w:r>
        <w:t xml:space="preserve">Эти поля позволяют определить, с каким объектом выполнялась операция, кто ее выполнил, с какого IP-адреса пришел запрос и каким был результат действия.</w:t>
      </w:r>
    </w:p>
    <w:bookmarkEnd w:id="9"/>
    <w:bookmarkStart w:id="10" w:name="просмотр-арм"/>
    <w:p>
      <w:pPr>
        <w:pStyle w:val="Heading3"/>
      </w:pPr>
      <w:r>
        <w:t xml:space="preserve">2. Просмотр АРМ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открывает интерфейс АРМ администратора информационной безопасности. Перед показом интерфейса система проверяет:</w:t>
      </w:r>
    </w:p>
    <w:p>
      <w:pPr>
        <w:pStyle w:val="Compact"/>
        <w:numPr>
          <w:ilvl w:val="0"/>
          <w:numId w:val="1002"/>
        </w:numPr>
      </w:pPr>
      <w:r>
        <w:t xml:space="preserve">установлена ли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разрешен ли текущий IP-адрес, если в настройке модуля задан список строгих IP;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FirstParagraph"/>
      </w:pPr>
      <w:r>
        <w:t xml:space="preserve">Если проверка не пройдена, система выводит сообщение об ошибке и не открывает АРМ.</w:t>
      </w:r>
    </w:p>
    <w:bookmarkEnd w:id="10"/>
    <w:bookmarkStart w:id="12" w:name="запись-события"/>
    <w:p>
      <w:pPr>
        <w:pStyle w:val="Heading3"/>
      </w:pPr>
      <w:r>
        <w:t xml:space="preserve">3. Запись события</w:t>
      </w:r>
    </w:p>
    <w:p>
      <w:pPr>
        <w:pStyle w:val="FirstParagraph"/>
      </w:pPr>
      <w:r>
        <w:t xml:space="preserve">События добавляются вызовом функции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 Если пользователь не передан явно, используется текущий логин пользователя. Если IP-адрес не передан явно, используется адрес текущего запроса.</w:t>
      </w:r>
    </w:p>
    <w:p>
      <w:pPr>
        <w:pStyle w:val="BodyText"/>
      </w:pPr>
      <w:r>
        <w:t xml:space="preserve">Дополнительно событие может быть отправлено в системный журнал операционной системы или записано в CSV-файл, если соответствующие параметры настроены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p>
      <w:pPr>
        <w:pStyle w:val="BodyText"/>
      </w:pPr>
      <w:r>
        <w:t xml:space="preserve">Для записи в CSV используется параметр</w:t>
      </w:r>
      <w:r>
        <w:t xml:space="preserve"> </w:t>
      </w:r>
      <w:hyperlink r:id="rId11">
        <w:r>
          <w:rPr>
            <w:rStyle w:val="Hyperlink"/>
          </w:rPr>
          <w:t xml:space="preserve">«Путь к csv-файлу для записи событий»</w:t>
        </w:r>
      </w:hyperlink>
      <w:r>
        <w:t xml:space="preserve">. Он не меняет состав внутреннего протокола: при штатной записи события данные сохраняются в таблицу</w:t>
      </w:r>
      <w:r>
        <w:t xml:space="preserve"> </w:t>
      </w:r>
      <w:r>
        <w:rPr>
          <w:rStyle w:val="VerbatimChar"/>
        </w:rPr>
        <w:t xml:space="preserve">aib</w:t>
      </w:r>
      <w:r>
        <w:t xml:space="preserve">, а при заполненном пути дополнительно дописываются во внешний файл. Если путь пустой, CSV-файл не создается и внешняя запись не выполняется.</w:t>
      </w:r>
    </w:p>
    <w:p>
      <w:pPr>
        <w:pStyle w:val="BodyText"/>
      </w:pPr>
      <w:r>
        <w:t xml:space="preserve">CSV-файл удобно использовать, когда события информационной безопасности нужно передавать во внешнюю систему мониторинга, хранить отдельно от базы ИРБИС 128 или регулярно архивировать средствами операционной системы.</w:t>
      </w:r>
    </w:p>
    <w:bookmarkEnd w:id="12"/>
    <w:bookmarkEnd w:id="13"/>
    <w:bookmarkStart w:id="20" w:name="настройка-журнала-событий"/>
    <w:p>
      <w:pPr>
        <w:pStyle w:val="Heading2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14" w:name="ограничение-доступа-к-арм"/>
    <w:p>
      <w:pPr>
        <w:pStyle w:val="Heading3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14"/>
    <w:bookmarkStart w:id="18" w:name="запись-во-внешние-журналы"/>
    <w:p>
      <w:pPr>
        <w:pStyle w:val="Heading3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6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8"/>
    <w:bookmarkStart w:id="19" w:name="служебные-уведомления"/>
    <w:p>
      <w:pPr>
        <w:pStyle w:val="Heading3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9"/>
    <w:bookmarkEnd w:id="20"/>
    <w:bookmarkStart w:id="24" w:name="импорт-событий"/>
    <w:p>
      <w:pPr>
        <w:pStyle w:val="Heading2"/>
      </w:pPr>
      <w:r>
        <w:t xml:space="preserve">Импорт событий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может принимать события не только через прямой вызов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, но и импортировать их из внешних источников.</w:t>
      </w:r>
    </w:p>
    <w:bookmarkStart w:id="21" w:name="импорт-из-лога-сервера-ирбис-64"/>
    <w:p>
      <w:pPr>
        <w:pStyle w:val="Heading3"/>
      </w:pPr>
      <w:r>
        <w:t xml:space="preserve">1. Импорт из лога сервера ИРБИС 64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AIS/ImportFromSrv64</w:t>
      </w:r>
      <w:r>
        <w:t xml:space="preserve"> </w:t>
      </w:r>
      <w:r>
        <w:t xml:space="preserve">раз в час запускает импорт записей событий из лог-файла сервера ИРБИС 64. Путь к файлу задается параметром</w:t>
      </w:r>
      <w:r>
        <w:t xml:space="preserve"> </w:t>
      </w:r>
      <w:r>
        <w:rPr>
          <w:rStyle w:val="VerbatimChar"/>
        </w:rPr>
        <w:t xml:space="preserve">svr64LogPath</w:t>
      </w:r>
      <w:r>
        <w:t xml:space="preserve">.</w:t>
      </w:r>
    </w:p>
    <w:p>
      <w:pPr>
        <w:pStyle w:val="BodyText"/>
      </w:pPr>
      <w:r>
        <w:t xml:space="preserve">Ожидаемый формат строки:</w:t>
      </w:r>
    </w:p>
    <w:p>
      <w:pPr>
        <w:pStyle w:val="SourceCode"/>
      </w:pPr>
      <w:r>
        <w:rPr>
          <w:rStyle w:val="VerbatimChar"/>
        </w:rPr>
        <w:t xml:space="preserve">Дата ; Login ; IP ; ARM ; Command ; DB ; MFN ; Result</w:t>
      </w:r>
    </w:p>
    <w:p>
      <w:pPr>
        <w:pStyle w:val="FirstParagraph"/>
      </w:pPr>
      <w:r>
        <w:t xml:space="preserve">При импорте событие преобразуется в запись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: объект, идентификатор, операция, результат, пользователь, IP-адрес и время.</w:t>
      </w:r>
    </w:p>
    <w:bookmarkEnd w:id="21"/>
    <w:bookmarkStart w:id="22" w:name="импорт-из-библиопортала"/>
    <w:p>
      <w:pPr>
        <w:pStyle w:val="Heading3"/>
      </w:pPr>
      <w:r>
        <w:t xml:space="preserve">2. Импорт из Библиопортала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AIS/ImportFromBiblioportal</w:t>
      </w:r>
      <w:r>
        <w:t xml:space="preserve"> </w:t>
      </w:r>
      <w:r>
        <w:t xml:space="preserve">получает события из настроенного адреса Библиопортала и передает их в</w:t>
      </w:r>
      <w:r>
        <w:t xml:space="preserve"> </w:t>
      </w:r>
      <w:r>
        <w:rPr>
          <w:rStyle w:val="VerbatimChar"/>
        </w:rPr>
        <w:t xml:space="preserve">AIS/Write</w:t>
      </w:r>
      <w:r>
        <w:t xml:space="preserve">.</w:t>
      </w:r>
    </w:p>
    <w:bookmarkEnd w:id="22"/>
    <w:bookmarkStart w:id="23" w:name="очистка-и-архивирование"/>
    <w:p>
      <w:pPr>
        <w:pStyle w:val="Heading3"/>
      </w:pPr>
      <w:r>
        <w:t xml:space="preserve">3. Очистка и архивирование</w:t>
      </w:r>
    </w:p>
    <w:p>
      <w:pPr>
        <w:pStyle w:val="FirstParagraph"/>
      </w:pPr>
      <w:r>
        <w:t xml:space="preserve">Запись во внешний CSV-файл и syslog выполняется при добавлении события, если включены соответствующие параметры модуля. Отдельная пользовательская страница ручной очистки протокола в модуле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не предусмотрена; регламент хранения и удаления событий нужно определять через обслуживание базы, настройки внешних журналов и процедуры архивирования.</w:t>
      </w:r>
    </w:p>
    <w:bookmarkEnd w:id="23"/>
    <w:bookmarkEnd w:id="24"/>
    <w:bookmarkStart w:id="25" w:name="контроль-целостности"/>
    <w:p>
      <w:pPr>
        <w:pStyle w:val="Heading2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4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4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4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hyperlink" Id="rId11" Target="?id=Help/Show&amp;m=AIS/Help/Configur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IS/Help/Configur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Администратор информационной безопасности</dc:title>
  <dc:creator/>
  <cp:keywords/>
  <dcterms:created xsi:type="dcterms:W3CDTF">2026-10-10T04:00:34Z</dcterms:created>
  <dcterms:modified xsi:type="dcterms:W3CDTF">2026-10-10T04:00:34Z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