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Таблицы переформатирования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аблицы-переформатирования-fst"/>
    <w:p>
      <w:pPr>
        <w:pStyle w:val="Heading1"/>
      </w:pPr>
      <w:r>
        <w:t xml:space="preserve">Таблицы переформатирования FST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FST</w:t>
      </w:r>
      <w:r>
        <w:t xml:space="preserve"> </w:t>
      </w:r>
      <w:r>
        <w:t xml:space="preserve">загружает таблицы переформатирования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базы ИРБИС, кеширует их разобранное представление и применяет таблицу к записи.</w:t>
      </w:r>
    </w:p>
    <w:bookmarkStart w:id="11" w:name="назначение-модуля-fst"/>
    <w:p>
      <w:pPr>
        <w:pStyle w:val="Heading2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Таблицы переформатирования FST</dc:title>
  <dc:creator/>
  <cp:keywords/>
  <dcterms:created xsi:type="dcterms:W3CDTF">2026-10-08T20:15:57Z</dcterms:created>
  <dcterms:modified xsi:type="dcterms:W3CDTF">2026-10-08T20:15:57Z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