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[I128-2836] AIProvider/AIModel policy и routing</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d74d817163812720e9292b40fe147f27b21016c"/>
    <w:p>
      <w:pPr>
        <w:pStyle w:val="Heading1"/>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01"/>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04"/>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07"/>
        </w:numPr>
      </w:pPr>
      <w:r>
        <w:t xml:space="preserve">AIProvider: provider registry, system JSON, readiness diagnostics, HealthCheck/TestA/Help;</w:t>
      </w:r>
    </w:p>
    <w:p>
      <w:pPr>
        <w:pStyle w:val="Compact"/>
        <w:numPr>
          <w:ilvl w:val="0"/>
          <w:numId w:val="1007"/>
        </w:numPr>
      </w:pPr>
      <w:r>
        <w:t xml:space="preserve">AIModel: model registry, AIModelPolicy, explainable ResolveModelPolicy, HealthCheck/TestA/Help;</w:t>
      </w:r>
    </w:p>
    <w:p>
      <w:pPr>
        <w:pStyle w:val="Compact"/>
        <w:numPr>
          <w:ilvl w:val="0"/>
          <w:numId w:val="1007"/>
        </w:numPr>
      </w:pPr>
      <w:r>
        <w:t xml:space="preserve">AI: явная точка ResolveGovernanceModel и переключение AI/ResolveModel на новый routing при modelPolicyKey/policyKey;</w:t>
      </w:r>
    </w:p>
    <w:p>
      <w:pPr>
        <w:pStyle w:val="Compact"/>
        <w:numPr>
          <w:ilvl w:val="0"/>
          <w:numId w:val="1007"/>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27"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7"/>
    <w:p>
      <w:pPr>
        <w:pStyle w:val="Heading3"/>
      </w:pPr>
      <w:r>
        <w:t xml:space="preserve">1.3. 🔗 blocks: I128-2797</w:t>
      </w:r>
    </w:p>
    <w:p>
      <w:pPr>
        <w:pStyle w:val="BlockText"/>
      </w:pPr>
      <w:hyperlink r:id="rId13">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8"/>
    <w:p>
      <w:pPr>
        <w:pStyle w:val="Heading3"/>
      </w:pPr>
      <w:r>
        <w:t xml:space="preserve">1.4. 🔗 blocks: I128-2798</w:t>
      </w:r>
    </w:p>
    <w:p>
      <w:pPr>
        <w:pStyle w:val="BlockText"/>
      </w:pPr>
      <w:hyperlink r:id="rId15">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9"/>
    <w:p>
      <w:pPr>
        <w:pStyle w:val="Heading3"/>
      </w:pPr>
      <w:r>
        <w:t xml:space="preserve">1.5. 🔗 blocks: I128-2799</w:t>
      </w:r>
    </w:p>
    <w:p>
      <w:pPr>
        <w:pStyle w:val="BlockText"/>
      </w:pPr>
      <w:hyperlink r:id="rId17">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818"/>
    <w:p>
      <w:pPr>
        <w:pStyle w:val="Heading3"/>
      </w:pPr>
      <w:r>
        <w:t xml:space="preserve">1.6. 🔗 blocks: I128-2818</w:t>
      </w:r>
    </w:p>
    <w:p>
      <w:pPr>
        <w:pStyle w:val="BlockText"/>
      </w:pPr>
      <w:hyperlink r:id="rId19">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28"/>
    <w:p>
      <w:pPr>
        <w:pStyle w:val="Heading3"/>
      </w:pPr>
      <w:r>
        <w:t xml:space="preserve">1.7. 🔗 blocks: I128-2828</w:t>
      </w:r>
    </w:p>
    <w:p>
      <w:pPr>
        <w:pStyle w:val="BlockText"/>
      </w:pPr>
      <w:hyperlink r:id="rId21">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9"/>
    <w:p>
      <w:pPr>
        <w:pStyle w:val="Heading3"/>
      </w:pPr>
      <w:r>
        <w:t xml:space="preserve">1.8. 🔗 blocks: I128-2829</w:t>
      </w:r>
    </w:p>
    <w:p>
      <w:pPr>
        <w:pStyle w:val="BlockText"/>
      </w:pPr>
      <w:hyperlink r:id="rId23">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3"/>
    <w:p>
      <w:pPr>
        <w:pStyle w:val="Heading3"/>
      </w:pPr>
      <w:r>
        <w:t xml:space="preserve">1.9. 🔗 blocks: I128-2833</w:t>
      </w:r>
    </w:p>
    <w:p>
      <w:pPr>
        <w:pStyle w:val="BlockText"/>
      </w:pPr>
      <w:hyperlink r:id="rId25">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[I128-2836] AIProvider/AIModel policy и routing</dc:title>
  <dc:creator/>
  <cp:keywords/>
  <dcterms:created xsi:type="dcterms:W3CDTF">2026-10-09T04:17:35Z</dcterms:created>
  <dcterms:modified xsi:type="dcterms:W3CDTF">2026-10-09T04:17:35Z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