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[I128-1618] Возможность прозрачной авторизации в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80d5e4c7874e0cf618d76cbdfd9f2412ce6d08"/>
    <w:p>
      <w:pPr>
        <w:pStyle w:val="Heading1"/>
      </w:pPr>
      <w:r>
        <w:t xml:space="preserve">[I128-1618] Возможность прозрачной авторизации в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18.04.2025 14:44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27"/>
    <w:p>
      <w:pPr>
        <w:pStyle w:val="Heading3"/>
      </w:pPr>
      <w:r>
        <w:t xml:space="preserve">1.1. 🔗 Соответствует задача: I128-1627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[I128-1627]</w:t>
        </w:r>
      </w:hyperlink>
      <w:r>
        <w:t xml:space="preserve"> </w:t>
      </w:r>
      <w:r>
        <w:t xml:space="preserve">Возможность прозрачной авторизации в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[I128-1618] Возможность прозрачной авторизации в ИРБИС 128</dc:title>
  <dc:creator/>
  <cp:keywords/>
  <dcterms:created xsi:type="dcterms:W3CDTF">2026-10-10T05:36:45Z</dcterms:created>
  <dcterms:modified xsi:type="dcterms:W3CDTF">2026-10-10T05:36:45Z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