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21.png" ContentType="image/png"/>
  <Override PartName="/word/media/rId224.png" ContentType="image/png"/>
  <Override PartName="/word/media/rId229.png" ContentType="image/png"/>
  <Override PartName="/word/media/rId232.png" ContentType="image/png"/>
  <Override PartName="/word/media/rId236.png" ContentType="image/png"/>
  <Override PartName="/word/media/rId239.png" ContentType="image/png"/>
  <Override PartName="/word/media/rId468.png" ContentType="image/png"/>
  <Override PartName="/word/media/rId471.png" ContentType="image/png"/>
  <Override PartName="/word/media/rId475.png" ContentType="image/png"/>
  <Override PartName="/word/media/rId478.png" ContentType="image/png"/>
  <Override PartName="/word/media/rId293.png" ContentType="image/png"/>
  <Override PartName="/word/media/rId296.png" ContentType="image/png"/>
  <Override PartName="/word/media/rId246.png" ContentType="image/png"/>
  <Override PartName="/word/media/rId249.png" ContentType="image/png"/>
  <Override PartName="/word/media/rId316.png" ContentType="image/png"/>
  <Override PartName="/word/media/rId319.png" ContentType="image/png"/>
  <Override PartName="/word/media/rId260.png" ContentType="image/png"/>
  <Override PartName="/word/media/rId268.png" ContentType="image/png"/>
  <Override PartName="/word/media/rId264.png" ContentType="image/png"/>
  <Override PartName="/word/media/rId257.png" ContentType="image/png"/>
  <Override PartName="/word/media/rId365.png" ContentType="image/png"/>
  <Override PartName="/word/media/rId369.png" ContentType="image/png"/>
  <Override PartName="/word/media/rId373.png" ContentType="image/png"/>
  <Override PartName="/word/media/rId377.png" ContentType="image/png"/>
  <Override PartName="/word/media/rId381.png" ContentType="image/png"/>
  <Override PartName="/word/media/rId385.png" ContentType="image/png"/>
  <Override PartName="/word/media/rId350.png" ContentType="image/png"/>
  <Override PartName="/word/media/rId353.png" ContentType="image/png"/>
  <Override PartName="/word/media/rId356.png" ContentType="image/png"/>
  <Override PartName="/word/media/rId392.png" ContentType="image/png"/>
  <Override PartName="/word/media/rId564.png" ContentType="image/png"/>
  <Override PartName="/word/media/rId568.png" ContentType="image/png"/>
  <Override PartName="/word/media/rId571.png" ContentType="image/png"/>
  <Override PartName="/word/media/rId574.png" ContentType="image/png"/>
  <Override PartName="/word/media/rId577.png" ContentType="image/png"/>
  <Override PartName="/word/media/rId581.png" ContentType="image/png"/>
  <Override PartName="/word/media/rId544.png" ContentType="image/png"/>
  <Override PartName="/word/media/rId547.png" ContentType="image/png"/>
  <Override PartName="/word/media/rId551.png" ContentType="image/png"/>
  <Override PartName="/word/media/rId554.png" ContentType="image/png"/>
  <Override PartName="/word/media/rId557.png" ContentType="image/png"/>
  <Override PartName="/word/media/rId485.png" ContentType="image/png"/>
  <Override PartName="/word/media/rId488.png" ContentType="image/png"/>
  <Override PartName="/word/media/rId492.png" ContentType="image/png"/>
  <Override PartName="/word/media/rId495.png" ContentType="image/png"/>
  <Override PartName="/word/media/rId499.png" ContentType="image/png"/>
  <Override PartName="/word/media/rId502.png" ContentType="image/png"/>
  <Override PartName="/word/media/rId326.png" ContentType="image/png"/>
  <Override PartName="/word/media/rId329.png" ContentType="image/png"/>
  <Override PartName="/word/media/rId332.png" ContentType="image/png"/>
  <Override PartName="/word/media/rId435.png" ContentType="image/png"/>
  <Override PartName="/word/media/rId438.png" ContentType="image/png"/>
  <Override PartName="/word/media/rId442.png" ContentType="image/png"/>
  <Override PartName="/word/media/rId445.png" ContentType="image/png"/>
  <Override PartName="/word/media/rId450.png" ContentType="image/png"/>
  <Override PartName="/word/media/rId453.png" ContentType="image/png"/>
  <Override PartName="/word/media/rId457.png" ContentType="image/png"/>
  <Override PartName="/word/media/rId460.png" ContentType="image/png"/>
  <Override PartName="/word/media/rId413.png" ContentType="image/png"/>
  <Override PartName="/word/media/rId416.png" ContentType="image/png"/>
  <Override PartName="/word/media/rId420.png" ContentType="image/png"/>
  <Override PartName="/word/media/rId423.png" ContentType="image/png"/>
  <Override PartName="/word/media/rId428.png" ContentType="image/png"/>
  <Override PartName="/word/media/rId400.png" ContentType="image/png"/>
  <Override PartName="/word/media/rId403.png" ContentType="image/png"/>
  <Override PartName="/word/media/rId508.png" ContentType="image/png"/>
  <Override PartName="/word/media/rId511.png" ContentType="image/png"/>
  <Override PartName="/word/media/rId516.png" ContentType="image/png"/>
  <Override PartName="/word/media/rId520.png" ContentType="image/png"/>
  <Override PartName="/word/media/rId523.png" ContentType="image/png"/>
  <Override PartName="/word/media/rId527.png" ContentType="image/png"/>
  <Override PartName="/word/media/rId530.png" ContentType="image/png"/>
  <Override PartName="/word/media/rId535.png" ContentType="image/png"/>
  <Override PartName="/word/media/rId303.png" ContentType="image/png"/>
  <Override PartName="/word/media/rId308.png" ContentType="image/png"/>
  <Override PartName="/word/media/rId33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587" w:name="руководство-пользователя"/>
    <w:p>
      <w:pPr>
        <w:pStyle w:val="Heading1"/>
      </w:pPr>
      <w:r>
        <w:t xml:space="preserve">Руководство пользователя</w:t>
      </w:r>
    </w:p>
    <w:p>
      <w:pPr>
        <w:pStyle w:val="FirstParagraph"/>
      </w:pPr>
      <w:r>
        <w:t xml:space="preserve">Раздел описывает рабочие сценарии каталогизатора: выбор базы данных, поиск, создание и редактирование записей, копирование, удаление, печать, импорт, экспорт и дополнительные действия с найденными записями.</w:t>
      </w:r>
    </w:p>
    <w:bookmarkStart w:id="9" w:name="описание-баз-данных"/>
    <w:p>
      <w:pPr>
        <w:pStyle w:val="Heading2"/>
      </w:pPr>
      <w:r>
        <w:t xml:space="preserve">Описание баз данных</w:t>
      </w:r>
    </w:p>
    <w:p>
      <w:pPr>
        <w:pStyle w:val="FirstParagraph"/>
      </w:pPr>
      <w:r>
        <w:t xml:space="preserve">Описание базы данных ARCH: БД Технический архив</w:t>
      </w:r>
    </w:p>
    <w:p>
      <w:pPr>
        <w:pStyle w:val="BodyText"/>
      </w:pPr>
      <w:r>
        <w:t xml:space="preserve">Описание базы данных ATHRA: Авторитетный файл -</w:t>
      </w:r>
      <w:r>
        <w:t xml:space="preserve"> </w:t>
      </w:r>
      <w:r>
        <w:t xml:space="preserve">“Индивидуальные авторы”</w:t>
      </w:r>
    </w:p>
    <w:p>
      <w:pPr>
        <w:pStyle w:val="BodyText"/>
      </w:pPr>
      <w:r>
        <w:t xml:space="preserve">Описание базы данных ATHRB: Алфавитно-предметный указатель ББК</w:t>
      </w:r>
    </w:p>
    <w:p>
      <w:pPr>
        <w:pStyle w:val="BodyText"/>
      </w:pPr>
      <w:r>
        <w:t xml:space="preserve">Описание базы данных ATHRC: Авторитетный файл -</w:t>
      </w:r>
      <w:r>
        <w:t xml:space="preserve"> </w:t>
      </w:r>
      <w:r>
        <w:t xml:space="preserve">“Коллективные авторы”</w:t>
      </w:r>
    </w:p>
    <w:p>
      <w:pPr>
        <w:pStyle w:val="BodyText"/>
      </w:pPr>
      <w:r>
        <w:t xml:space="preserve">Описание базы данных ATHRG: Авторитетный файл -</w:t>
      </w:r>
      <w:r>
        <w:t xml:space="preserve"> </w:t>
      </w:r>
      <w:r>
        <w:t xml:space="preserve">“Географическое название”</w:t>
      </w:r>
    </w:p>
    <w:p>
      <w:pPr>
        <w:pStyle w:val="BodyText"/>
      </w:pPr>
      <w:r>
        <w:t xml:space="preserve">Описание базы данных ATHRS: Авторитетный файл -</w:t>
      </w:r>
      <w:r>
        <w:t xml:space="preserve"> </w:t>
      </w:r>
      <w:r>
        <w:t xml:space="preserve">“Предметные заголовки”</w:t>
      </w:r>
      <w:r>
        <w:t xml:space="preserve"> </w:t>
      </w:r>
    </w:p>
    <w:p>
      <w:pPr>
        <w:pStyle w:val="BodyText"/>
      </w:pPr>
      <w:r>
        <w:t xml:space="preserve">Описание базы данных ATHRU: Алфавитно-предметный указатель УДК</w:t>
      </w:r>
    </w:p>
    <w:p>
      <w:pPr>
        <w:pStyle w:val="BodyText"/>
      </w:pPr>
      <w:r>
        <w:t xml:space="preserve">Описание базы данных CBSNAZ:</w:t>
      </w:r>
      <w:r>
        <w:t xml:space="preserve"> </w:t>
      </w:r>
    </w:p>
    <w:p>
      <w:pPr>
        <w:pStyle w:val="BodyText"/>
      </w:pPr>
      <w:r>
        <w:t xml:space="preserve">Описание базы данных CMPL: Комплектование в ИРБИС</w:t>
      </w:r>
    </w:p>
    <w:p>
      <w:pPr>
        <w:pStyle w:val="BodyText"/>
      </w:pPr>
      <w:r>
        <w:t xml:space="preserve">Описание базы данных EBSCO:</w:t>
      </w:r>
      <w:r>
        <w:t xml:space="preserve"> </w:t>
      </w:r>
    </w:p>
    <w:p>
      <w:pPr>
        <w:pStyle w:val="BodyText"/>
      </w:pPr>
      <w:r>
        <w:t xml:space="preserve">Описание базы данных ESVODT: Сводный каталог ресурсов</w:t>
      </w:r>
    </w:p>
    <w:p>
      <w:pPr>
        <w:pStyle w:val="BodyText"/>
      </w:pPr>
      <w:r>
        <w:t xml:space="preserve">Описание базы данных E_00000TEST: БД ЭК организации Test Organisation</w:t>
      </w:r>
    </w:p>
    <w:p>
      <w:pPr>
        <w:pStyle w:val="BodyText"/>
      </w:pPr>
      <w:r>
        <w:t xml:space="preserve">Описание базы данных GUAR: Гуманитарный архив</w:t>
      </w:r>
    </w:p>
    <w:p>
      <w:pPr>
        <w:pStyle w:val="BodyText"/>
      </w:pPr>
      <w:r>
        <w:t xml:space="preserve">Описание базы данных GURF:</w:t>
      </w:r>
      <w:r>
        <w:t xml:space="preserve"> </w:t>
      </w:r>
    </w:p>
    <w:p>
      <w:pPr>
        <w:pStyle w:val="BodyText"/>
      </w:pPr>
      <w:r>
        <w:t xml:space="preserve">Описание базы данных GUSK:</w:t>
      </w:r>
      <w:r>
        <w:t xml:space="preserve"> </w:t>
      </w:r>
    </w:p>
    <w:p>
      <w:pPr>
        <w:pStyle w:val="BodyText"/>
      </w:pPr>
      <w:r>
        <w:t xml:space="preserve">Описание базы данных HELP: Рубрикатор ГРНТИ</w:t>
      </w:r>
    </w:p>
    <w:p>
      <w:pPr>
        <w:pStyle w:val="BodyText"/>
      </w:pPr>
      <w:r>
        <w:t xml:space="preserve">Описание базы данных I128F: Конфигурационная БД</w:t>
      </w:r>
    </w:p>
    <w:p>
      <w:pPr>
        <w:pStyle w:val="BodyText"/>
      </w:pPr>
      <w:r>
        <w:t xml:space="preserve">Описание базы данных IMPORT:</w:t>
      </w:r>
      <w:r>
        <w:t xml:space="preserve"> </w:t>
      </w:r>
    </w:p>
    <w:p>
      <w:pPr>
        <w:pStyle w:val="BodyText"/>
      </w:pPr>
      <w:r>
        <w:t xml:space="preserve">Описание базы данных IRI: БД результатов обслуживания по ИРИ</w:t>
      </w:r>
    </w:p>
    <w:p>
      <w:pPr>
        <w:pStyle w:val="BodyText"/>
      </w:pPr>
      <w:r>
        <w:t xml:space="preserve">Описание базы данных KZD: Календарь знаменательных дат</w:t>
      </w:r>
    </w:p>
    <w:p>
      <w:pPr>
        <w:pStyle w:val="BodyText"/>
      </w:pPr>
      <w:r>
        <w:t xml:space="preserve">Описание базы данных LINUX:</w:t>
      </w:r>
      <w:r>
        <w:t xml:space="preserve"> </w:t>
      </w:r>
    </w:p>
    <w:p>
      <w:pPr>
        <w:pStyle w:val="BodyText"/>
      </w:pPr>
      <w:r>
        <w:t xml:space="preserve">Описание базы данных MORPH: БД морфологии</w:t>
      </w:r>
    </w:p>
    <w:p>
      <w:pPr>
        <w:pStyle w:val="BodyText"/>
      </w:pPr>
      <w:r>
        <w:t xml:space="preserve">Описание базы данных MeSH: Предметные рубрики по медицине</w:t>
      </w:r>
    </w:p>
    <w:p>
      <w:pPr>
        <w:pStyle w:val="BodyText"/>
      </w:pPr>
      <w:r>
        <w:t xml:space="preserve">Описание базы данных PAY: БД платных услуг</w:t>
      </w:r>
    </w:p>
    <w:p>
      <w:pPr>
        <w:pStyle w:val="BodyText"/>
      </w:pPr>
      <w:r>
        <w:t xml:space="preserve">Описание базы данных PODB: Каталог заказа книг</w:t>
      </w:r>
    </w:p>
    <w:p>
      <w:pPr>
        <w:pStyle w:val="BodyText"/>
      </w:pPr>
      <w:r>
        <w:t xml:space="preserve">Описание базы данных POST: Каталог подписки периодики</w:t>
      </w:r>
    </w:p>
    <w:p>
      <w:pPr>
        <w:pStyle w:val="BodyText"/>
      </w:pPr>
      <w:r>
        <w:t xml:space="preserve">Описание базы данных RAIDB0: Объединение двух БД</w:t>
      </w:r>
    </w:p>
    <w:p>
      <w:pPr>
        <w:pStyle w:val="BodyText"/>
      </w:pPr>
      <w:r>
        <w:t xml:space="preserve">Описание базы данных RDR: База данных читателей</w:t>
      </w:r>
    </w:p>
    <w:p>
      <w:pPr>
        <w:pStyle w:val="BodyText"/>
      </w:pPr>
      <w:r>
        <w:t xml:space="preserve">Описание базы данных RQST: База данных заказов на выдачу литературы</w:t>
      </w:r>
    </w:p>
    <w:p>
      <w:pPr>
        <w:pStyle w:val="BodyText"/>
      </w:pPr>
      <w:r>
        <w:t xml:space="preserve">Описание базы данных RSBBK: БД ББК</w:t>
      </w:r>
    </w:p>
    <w:p>
      <w:pPr>
        <w:pStyle w:val="BodyText"/>
      </w:pPr>
      <w:r>
        <w:t xml:space="preserve">Описание базы данных RSUDC: БД УДК</w:t>
      </w:r>
    </w:p>
    <w:p>
      <w:pPr>
        <w:pStyle w:val="BodyText"/>
      </w:pPr>
      <w:r>
        <w:t xml:space="preserve">Описание базы данных R_00000TEST: БД пользователей организации Test Organisation</w:t>
      </w:r>
    </w:p>
    <w:p>
      <w:pPr>
        <w:pStyle w:val="BodyText"/>
      </w:pPr>
      <w:r>
        <w:t xml:space="preserve">Описание базы данных TESTDB: Тестовая БД</w:t>
      </w:r>
    </w:p>
    <w:p>
      <w:pPr>
        <w:pStyle w:val="BodyText"/>
      </w:pPr>
      <w:r>
        <w:t xml:space="preserve">Описание базы данных TEZ: Тезаурус</w:t>
      </w:r>
    </w:p>
    <w:p>
      <w:pPr>
        <w:pStyle w:val="BodyText"/>
      </w:pPr>
      <w:r>
        <w:t xml:space="preserve">Описание базы данных UGURDR: Югорский государственный университет</w:t>
      </w:r>
    </w:p>
    <w:p>
      <w:pPr>
        <w:pStyle w:val="BodyText"/>
      </w:pPr>
      <w:r>
        <w:t xml:space="preserve">Описание базы данных URUB: Универсальный тематический навигатор</w:t>
      </w:r>
    </w:p>
    <w:p>
      <w:pPr>
        <w:pStyle w:val="BodyText"/>
      </w:pPr>
      <w:r>
        <w:t xml:space="preserve">Описание базы данных USER: БД пользователей Ассоциации</w:t>
      </w:r>
    </w:p>
    <w:p>
      <w:pPr>
        <w:pStyle w:val="BodyText"/>
      </w:pPr>
      <w:r>
        <w:t xml:space="preserve">Описание базы данных VUZ: Учебные дисциплины (задача КНИГООБЕСПЕЧЕННОСТЬ)</w:t>
      </w:r>
    </w:p>
    <w:p>
      <w:pPr>
        <w:pStyle w:val="BodyText"/>
      </w:pPr>
      <w:r>
        <w:t xml:space="preserve">Описание базы данных WORK: Рабочая БД (для табличных форм)</w:t>
      </w:r>
    </w:p>
    <w:p>
      <w:pPr>
        <w:pStyle w:val="BodyText"/>
      </w:pPr>
      <w:r>
        <w:t xml:space="preserve">Описание базы данных Тестовая БД: БД, предназначенная для тестирования</w:t>
      </w:r>
    </w:p>
    <w:bookmarkEnd w:id="9"/>
    <w:bookmarkStart w:id="218" w:name="методика-ввода-библиографических-записей"/>
    <w:p>
      <w:pPr>
        <w:pStyle w:val="Heading2"/>
      </w:pPr>
      <w:r>
        <w:t xml:space="preserve">Методика ввода библиографических записей</w:t>
      </w:r>
    </w:p>
    <w:p>
      <w:pPr>
        <w:pStyle w:val="FirstParagraph"/>
      </w:pPr>
      <w:r>
        <w:t xml:space="preserve">Этот раздел описывает методические основы ввода и корректировки библиографических записей в электронном каталоге. Пошаговые действия в интерфейсе описаны в соседних разделах:</w:t>
      </w:r>
      <w:r>
        <w:t xml:space="preserve"> </w:t>
      </w:r>
      <w:hyperlink r:id="rId10">
        <w:r>
          <w:rPr>
            <w:rStyle w:val="Hyperlink"/>
          </w:rPr>
          <w:t xml:space="preserve">создание записи</w:t>
        </w:r>
      </w:hyperlink>
      <w:r>
        <w:t xml:space="preserve">,</w:t>
      </w:r>
      <w:r>
        <w:t xml:space="preserve"> </w:t>
      </w:r>
      <w:hyperlink r:id="rId11">
        <w:r>
          <w:rPr>
            <w:rStyle w:val="Hyperlink"/>
          </w:rPr>
          <w:t xml:space="preserve">редактирование записи</w:t>
        </w:r>
      </w:hyperlink>
      <w:r>
        <w:t xml:space="preserve">,</w:t>
      </w:r>
      <w:r>
        <w:t xml:space="preserve"> </w:t>
      </w:r>
      <w:hyperlink r:id="rId12">
        <w:r>
          <w:rPr>
            <w:rStyle w:val="Hyperlink"/>
          </w:rPr>
          <w:t xml:space="preserve">создание записи на основе выбранной</w:t>
        </w:r>
      </w:hyperlink>
      <w:r>
        <w:t xml:space="preserve"> </w:t>
      </w:r>
      <w:r>
        <w:t xml:space="preserve">и</w:t>
      </w:r>
      <w:r>
        <w:t xml:space="preserve"> </w:t>
      </w:r>
      <w:hyperlink r:id="rId13">
        <w:r>
          <w:rPr>
            <w:rStyle w:val="Hyperlink"/>
          </w:rPr>
          <w:t xml:space="preserve">inline-каталогизация</w:t>
        </w:r>
      </w:hyperlink>
      <w:r>
        <w:t xml:space="preserve">.</w:t>
      </w:r>
    </w:p>
    <w:bookmarkStart w:id="14" w:name="общие-положения"/>
    <w:p>
      <w:pPr>
        <w:pStyle w:val="Heading3"/>
      </w:pPr>
      <w:r>
        <w:t xml:space="preserve">1. Общие положения</w:t>
      </w:r>
    </w:p>
    <w:p>
      <w:pPr>
        <w:pStyle w:val="FirstParagraph"/>
      </w:pPr>
      <w:r>
        <w:t xml:space="preserve">Электронный каталог представляет собой общую поливидовую базу данных. В ней могут описываться печатные и рукописные материалы, ноты, видео- и звукозаписи, картографические материалы, компьютерные файлы и другие виды документов.</w:t>
      </w:r>
    </w:p>
    <w:p>
      <w:pPr>
        <w:pStyle w:val="BodyText"/>
      </w:pPr>
      <w:r>
        <w:t xml:space="preserve">Документы могут быть:</w:t>
      </w:r>
    </w:p>
    <w:p>
      <w:pPr>
        <w:pStyle w:val="Compact"/>
        <w:numPr>
          <w:ilvl w:val="0"/>
          <w:numId w:val="1001"/>
        </w:numPr>
      </w:pPr>
      <w:r>
        <w:t xml:space="preserve">законченными однотомными изданиями;</w:t>
      </w:r>
    </w:p>
    <w:p>
      <w:pPr>
        <w:pStyle w:val="Compact"/>
        <w:numPr>
          <w:ilvl w:val="0"/>
          <w:numId w:val="1001"/>
        </w:numPr>
      </w:pPr>
      <w:r>
        <w:t xml:space="preserve">многотомными изданиями;</w:t>
      </w:r>
    </w:p>
    <w:p>
      <w:pPr>
        <w:pStyle w:val="Compact"/>
        <w:numPr>
          <w:ilvl w:val="0"/>
          <w:numId w:val="1001"/>
        </w:numPr>
      </w:pPr>
      <w:r>
        <w:t xml:space="preserve">продолжающимися, серийными или периодическими изданиями;</w:t>
      </w:r>
    </w:p>
    <w:p>
      <w:pPr>
        <w:pStyle w:val="Compact"/>
        <w:numPr>
          <w:ilvl w:val="0"/>
          <w:numId w:val="1001"/>
        </w:numPr>
      </w:pPr>
      <w:r>
        <w:t xml:space="preserve">аналитическими описаниями статей из сборника или номера периодического издания.</w:t>
      </w:r>
    </w:p>
    <w:p>
      <w:pPr>
        <w:pStyle w:val="FirstParagraph"/>
      </w:pPr>
      <w:r>
        <w:t xml:space="preserve">При необходимости электронный каталог может быть разделён на несколько баз данных: по типу литературы, тематике, виду описания, хронологическому принципу или другому принятому в организации правилу.</w:t>
      </w:r>
    </w:p>
    <w:p>
      <w:pPr>
        <w:pStyle w:val="BodyText"/>
      </w:pPr>
      <w:r>
        <w:t xml:space="preserve">В методике используются три основных вида библиографического описания: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Вид описания</w:t>
            </w:r>
          </w:p>
        </w:tc>
        <w:tc>
          <w:tcPr/>
          <w:p>
            <w:pPr>
              <w:pStyle w:val="Compact"/>
            </w:pPr>
            <w:r>
              <w:t xml:space="preserve">Что описывает</w:t>
            </w:r>
          </w:p>
        </w:tc>
      </w:tr>
      <w:tr>
        <w:tc>
          <w:tcPr/>
          <w:p>
            <w:pPr>
              <w:pStyle w:val="Compact"/>
            </w:pPr>
            <w:r>
              <w:t xml:space="preserve">Монографическое</w:t>
            </w:r>
          </w:p>
        </w:tc>
        <w:tc>
          <w:tcPr/>
          <w:p>
            <w:pPr>
              <w:pStyle w:val="Compact"/>
            </w:pPr>
            <w:r>
              <w:t xml:space="preserve">Отдельно изданную единицу: однотомное издание, том многотомного издания, выпуск серийного или продолжающегося издания</w:t>
            </w:r>
          </w:p>
        </w:tc>
      </w:tr>
      <w:tr>
        <w:tc>
          <w:tcPr/>
          <w:p>
            <w:pPr>
              <w:pStyle w:val="Compact"/>
            </w:pPr>
            <w:r>
              <w:t xml:space="preserve">Сводное</w:t>
            </w:r>
          </w:p>
        </w:tc>
        <w:tc>
          <w:tcPr/>
          <w:p>
            <w:pPr>
              <w:pStyle w:val="Compact"/>
            </w:pPr>
            <w:r>
              <w:t xml:space="preserve">Издание в целом, например журнал или газету, с последующей регистрацией отдельных номеров</w:t>
            </w:r>
          </w:p>
        </w:tc>
      </w:tr>
      <w:tr>
        <w:tc>
          <w:tcPr/>
          <w:p>
            <w:pPr>
              <w:pStyle w:val="Compact"/>
            </w:pPr>
            <w:r>
              <w:t xml:space="preserve">Аналитическое</w:t>
            </w:r>
          </w:p>
        </w:tc>
        <w:tc>
          <w:tcPr/>
          <w:p>
            <w:pPr>
              <w:pStyle w:val="Compact"/>
            </w:pPr>
            <w:r>
              <w:t xml:space="preserve">Статью или другой составной материал из журнала, сборника, комплекта карт, аудиовизуального или другого документа</w:t>
            </w:r>
          </w:p>
        </w:tc>
      </w:tr>
    </w:tbl>
    <w:p>
      <w:pPr>
        <w:pStyle w:val="BodyText"/>
      </w:pPr>
      <w:r>
        <w:t xml:space="preserve">Для простоты в исходной методике термином</w:t>
      </w:r>
      <w:r>
        <w:t xml:space="preserve"> </w:t>
      </w:r>
      <w:r>
        <w:t xml:space="preserve">“книга”</w:t>
      </w:r>
      <w:r>
        <w:t xml:space="preserve"> </w:t>
      </w:r>
      <w:r>
        <w:t xml:space="preserve">обозначается однотомное, многотомное, продолжающееся или серийное издание, для которого библиографическое описание составляется на каждую отдельно изданную единицу. Термином</w:t>
      </w:r>
      <w:r>
        <w:t xml:space="preserve"> </w:t>
      </w:r>
      <w:r>
        <w:t xml:space="preserve">“журнал”</w:t>
      </w:r>
      <w:r>
        <w:t xml:space="preserve"> </w:t>
      </w:r>
      <w:r>
        <w:t xml:space="preserve">обозначается сериальное издание, для которого составляется сводное описание и регистрируются поступившие номера или выпуски.</w:t>
      </w:r>
    </w:p>
    <w:bookmarkEnd w:id="14"/>
    <w:bookmarkStart w:id="15" w:name="типы-документов"/>
    <w:p>
      <w:pPr>
        <w:pStyle w:val="Heading3"/>
      </w:pPr>
      <w:r>
        <w:t xml:space="preserve">2. Типы документов</w:t>
      </w:r>
    </w:p>
    <w:p>
      <w:pPr>
        <w:pStyle w:val="FirstParagraph"/>
      </w:pPr>
      <w:r>
        <w:rPr>
          <w:b/>
          <w:bCs/>
        </w:rPr>
        <w:t xml:space="preserve">Документ-книга</w:t>
      </w:r>
      <w:r>
        <w:t xml:space="preserve"> </w:t>
      </w:r>
      <w:r>
        <w:t xml:space="preserve">содержит элементы данных библиографического описания одной отдельно изданной единицы, а также сведения о полученных, заказанных или ожидаемых экземплярах.</w:t>
      </w:r>
    </w:p>
    <w:p>
      <w:pPr>
        <w:pStyle w:val="BodyText"/>
      </w:pPr>
      <w:r>
        <w:rPr>
          <w:b/>
          <w:bCs/>
        </w:rPr>
        <w:t xml:space="preserve">Документ-журнал</w:t>
      </w:r>
      <w:r>
        <w:t xml:space="preserve"> </w:t>
      </w:r>
      <w:r>
        <w:t xml:space="preserve">содержит элементы данных сводного библиографического описания сериального издания и сведения о поступлении отдельных номеров за разные годы. При регистрации поступления отдельного номера система формирует документ-номер журнала, где фиксируются полученные экземпляры, оглавление номера и технологические сведения.</w:t>
      </w:r>
    </w:p>
    <w:p>
      <w:pPr>
        <w:pStyle w:val="BodyText"/>
      </w:pPr>
      <w:r>
        <w:rPr>
          <w:b/>
          <w:bCs/>
        </w:rPr>
        <w:t xml:space="preserve">Документ-статья</w:t>
      </w:r>
      <w:r>
        <w:t xml:space="preserve"> </w:t>
      </w:r>
      <w:r>
        <w:t xml:space="preserve">содержит элементы данных аналитического библиографического описания статьи из журнала, сборника или другого документа.</w:t>
      </w:r>
    </w:p>
    <w:p>
      <w:pPr>
        <w:pStyle w:val="BodyText"/>
      </w:pPr>
      <w:r>
        <w:t xml:space="preserve">Документ создаётся при первом получении издания. Затем запись может корректироваться: исправляются ошибки, добавляются сведения о новых поступлениях, списываются отдельные экземпляры, уточняются технологические данные.</w:t>
      </w:r>
    </w:p>
    <w:p>
      <w:pPr>
        <w:pStyle w:val="BodyText"/>
      </w:pPr>
      <w:r>
        <w:t xml:space="preserve">Описание обычно выполняется по самому изданию. Запись также может быть передана из базы комплектования, скопирована из другой базы данных, заимствована из внешней системы или получена преобразованием из другого формата.</w:t>
      </w:r>
    </w:p>
    <w:bookmarkEnd w:id="15"/>
    <w:bookmarkStart w:id="16" w:name="контроль-и-справочные-данные"/>
    <w:p>
      <w:pPr>
        <w:pStyle w:val="Heading3"/>
      </w:pPr>
      <w:r>
        <w:t xml:space="preserve">3. Контроль и справочные данные</w:t>
      </w:r>
    </w:p>
    <w:p>
      <w:pPr>
        <w:pStyle w:val="FirstParagraph"/>
      </w:pPr>
      <w:r>
        <w:t xml:space="preserve">При вводе информации система может выполнять формально-логический контроль части данных и сверку на дублетность по совокупности основных библиографических элементов.</w:t>
      </w:r>
    </w:p>
    <w:p>
      <w:pPr>
        <w:pStyle w:val="BodyText"/>
      </w:pPr>
      <w:r>
        <w:t xml:space="preserve">Кодовая информация вводится с использованием меню-справочников. Наименования организаций, коллективов, совещаний и другие нормируемые данные могут вводиться с использованием словаря базы электронного каталога и авторитетных баз данных.</w:t>
      </w:r>
    </w:p>
    <w:p>
      <w:pPr>
        <w:pStyle w:val="BodyText"/>
      </w:pPr>
      <w:r>
        <w:t xml:space="preserve">До начала работы с базой данных администратор и каталогизаторы должны проверить состав справочников, которые используются при вводе сведений об экземплярах:</w:t>
      </w:r>
    </w:p>
    <w:p>
      <w:pPr>
        <w:pStyle w:val="Compact"/>
        <w:numPr>
          <w:ilvl w:val="0"/>
          <w:numId w:val="1002"/>
        </w:numPr>
      </w:pPr>
      <w:r>
        <w:rPr>
          <w:rStyle w:val="VerbatimChar"/>
        </w:rPr>
        <w:t xml:space="preserve">STE.MNU</w:t>
      </w:r>
      <w:r>
        <w:t xml:space="preserve"> </w:t>
      </w:r>
      <w:r>
        <w:t xml:space="preserve">- статус экземпляра;</w:t>
      </w:r>
    </w:p>
    <w:p>
      <w:pPr>
        <w:pStyle w:val="Compact"/>
        <w:numPr>
          <w:ilvl w:val="0"/>
          <w:numId w:val="1002"/>
        </w:numPr>
      </w:pPr>
      <w:r>
        <w:rPr>
          <w:rStyle w:val="VerbatimChar"/>
        </w:rPr>
        <w:t xml:space="preserve">KP.MNU</w:t>
      </w:r>
      <w:r>
        <w:t xml:space="preserve"> </w:t>
      </w:r>
      <w:r>
        <w:t xml:space="preserve">- канал поступления;</w:t>
      </w:r>
    </w:p>
    <w:p>
      <w:pPr>
        <w:pStyle w:val="Compact"/>
        <w:numPr>
          <w:ilvl w:val="0"/>
          <w:numId w:val="1002"/>
        </w:numPr>
      </w:pPr>
      <w:r>
        <w:rPr>
          <w:rStyle w:val="VerbatimChar"/>
        </w:rPr>
        <w:t xml:space="preserve">MHR.MNU</w:t>
      </w:r>
      <w:r>
        <w:t xml:space="preserve"> </w:t>
      </w:r>
      <w:r>
        <w:t xml:space="preserve">- место хранения;</w:t>
      </w:r>
    </w:p>
    <w:p>
      <w:pPr>
        <w:pStyle w:val="Compact"/>
        <w:numPr>
          <w:ilvl w:val="0"/>
          <w:numId w:val="1002"/>
        </w:numPr>
      </w:pPr>
      <w:r>
        <w:rPr>
          <w:rStyle w:val="VerbatimChar"/>
        </w:rPr>
        <w:t xml:space="preserve">TP.MNU</w:t>
      </w:r>
      <w:r>
        <w:t xml:space="preserve"> </w:t>
      </w:r>
      <w:r>
        <w:t xml:space="preserve">- технологический путь;</w:t>
      </w:r>
    </w:p>
    <w:p>
      <w:pPr>
        <w:pStyle w:val="Compact"/>
        <w:numPr>
          <w:ilvl w:val="0"/>
          <w:numId w:val="1002"/>
        </w:numPr>
      </w:pPr>
      <w:r>
        <w:rPr>
          <w:rStyle w:val="VerbatimChar"/>
        </w:rPr>
        <w:t xml:space="preserve">FIO.MNU</w:t>
      </w:r>
      <w:r>
        <w:t xml:space="preserve"> </w:t>
      </w:r>
      <w:r>
        <w:t xml:space="preserve">- ФИО исполнителей;</w:t>
      </w:r>
    </w:p>
    <w:p>
      <w:pPr>
        <w:pStyle w:val="Compact"/>
        <w:numPr>
          <w:ilvl w:val="0"/>
          <w:numId w:val="1002"/>
        </w:numPr>
      </w:pPr>
      <w:r>
        <w:rPr>
          <w:rStyle w:val="VerbatimChar"/>
        </w:rPr>
        <w:t xml:space="preserve">ORG.MNU</w:t>
      </w:r>
      <w:r>
        <w:t xml:space="preserve"> </w:t>
      </w:r>
      <w:r>
        <w:t xml:space="preserve">- сведения об организации-поставщике информации для выходных и коммуникативных форматов.</w:t>
      </w:r>
    </w:p>
    <w:p>
      <w:pPr>
        <w:pStyle w:val="FirstParagraph"/>
      </w:pPr>
      <w:r>
        <w:t xml:space="preserve">Справочник</w:t>
      </w:r>
      <w:r>
        <w:t xml:space="preserve"> </w:t>
      </w:r>
      <w:r>
        <w:rPr>
          <w:rStyle w:val="VerbatimChar"/>
        </w:rPr>
        <w:t xml:space="preserve">ORG.MNU</w:t>
      </w:r>
      <w:r>
        <w:t xml:space="preserve"> </w:t>
      </w:r>
      <w:r>
        <w:t xml:space="preserve">задаёт значения по умолчанию, которые используются при формировании выходных данных и экспортных файлов. В нём могут быть указаны код страны, наименование организации, обозначение валюты, единицы измерения, национальный язык, сигла организации и режим автоматического формирования авторского знака.</w:t>
      </w:r>
    </w:p>
    <w:bookmarkEnd w:id="16"/>
    <w:bookmarkStart w:id="17" w:name="формат-представления-данных"/>
    <w:p>
      <w:pPr>
        <w:pStyle w:val="Heading3"/>
      </w:pPr>
      <w:r>
        <w:t xml:space="preserve">4. Формат представления данных</w:t>
      </w:r>
    </w:p>
    <w:p>
      <w:pPr>
        <w:pStyle w:val="FirstParagraph"/>
      </w:pPr>
      <w:r>
        <w:t xml:space="preserve">Данные библиографического описания представлены в виде полей и подполей. Для элементов данных могут задаваться обязательность, повторяемость и отражение в поисковых словарях: автора, заглавия, издательства, коллектива, ключевых слов и других.</w:t>
      </w:r>
    </w:p>
    <w:p>
      <w:pPr>
        <w:pStyle w:val="BodyText"/>
      </w:pPr>
      <w:r>
        <w:t xml:space="preserve">За основу формата принят коммуникативный формат UNIMARC в части группировки библиографических данных по полям и подполям и кодирования информации. При этом система поддерживает преобразование библиографической информации в форматы UNIMARC, USMARC и RUSMARC для обмена с другими информационными системами.</w:t>
      </w:r>
    </w:p>
    <w:p>
      <w:pPr>
        <w:pStyle w:val="BodyText"/>
      </w:pPr>
      <w:r>
        <w:t xml:space="preserve">В ИРБИС дополнительно используются технологические поля. Они позволяют хранить сведения о поступлении и хранении номеров или выпусков периодических изданий, а также о полученных и заказанных экземплярах книг и журналов.</w:t>
      </w:r>
    </w:p>
    <w:p>
      <w:pPr>
        <w:pStyle w:val="BodyText"/>
      </w:pPr>
      <w:r>
        <w:t xml:space="preserve">Система ориентирована на однократный ввод данных в формализованном виде. Такие данные затем могут использоваться в разных задачах: поиске, печати, экспорте, формировании выходных документов и обменных файлов.</w:t>
      </w:r>
    </w:p>
    <w:p>
      <w:pPr>
        <w:pStyle w:val="BodyText"/>
      </w:pPr>
      <w:r>
        <w:t xml:space="preserve">При необходимости каталогизатор может работать с полями формата RUSMARC, которые не входят в основной набор ИРБИС. Такие поля добавляются в запись из таблицы описания полей. Для индикаторов RUSMARC используются подполя</w:t>
      </w:r>
      <w:r>
        <w:t xml:space="preserve"> </w:t>
      </w:r>
      <w:r>
        <w:rPr>
          <w:rStyle w:val="VerbatimChar"/>
        </w:rPr>
        <w:t xml:space="preserve">0</w:t>
      </w:r>
      <w:r>
        <w:t xml:space="preserve"> </w:t>
      </w:r>
      <w:r>
        <w:t xml:space="preserve">и</w:t>
      </w:r>
      <w:r>
        <w:t xml:space="preserve"> </w:t>
      </w:r>
      <w:r>
        <w:rPr>
          <w:rStyle w:val="VerbatimChar"/>
        </w:rPr>
        <w:t xml:space="preserve">!</w:t>
      </w:r>
      <w:r>
        <w:t xml:space="preserve">; для каждого поля может быть задано меню допустимых значений индикаторов, включая значение</w:t>
      </w:r>
      <w:r>
        <w:t xml:space="preserve"> </w:t>
      </w:r>
      <w:r>
        <w:rPr>
          <w:rStyle w:val="VerbatimChar"/>
        </w:rPr>
        <w:t xml:space="preserve">#</w:t>
      </w:r>
      <w:r>
        <w:t xml:space="preserve">, если индикатор не используется.</w:t>
      </w:r>
    </w:p>
    <w:bookmarkEnd w:id="17"/>
    <w:bookmarkStart w:id="18" w:name="нормативная-база"/>
    <w:p>
      <w:pPr>
        <w:pStyle w:val="Heading3"/>
      </w:pPr>
      <w:r>
        <w:t xml:space="preserve">5. Нормативная база</w:t>
      </w:r>
    </w:p>
    <w:p>
      <w:pPr>
        <w:pStyle w:val="FirstParagraph"/>
      </w:pPr>
      <w:r>
        <w:t xml:space="preserve">Исходная методика опирается на ГОСТ 7.1-2003, Российские правила каталогизации и стандарты библиографического описания отдельных видов документов, включая нотные издания, картографические произведения и аудиовизуальные материалы.</w:t>
      </w:r>
    </w:p>
    <w:p>
      <w:pPr>
        <w:pStyle w:val="BodyText"/>
      </w:pPr>
      <w:r>
        <w:t xml:space="preserve">При актуализации раздела нужно сверять применяемые правила каталогизации с действующими нормативными документами организации и текущей настройкой рабочих листов.</w:t>
      </w:r>
    </w:p>
    <w:bookmarkEnd w:id="18"/>
    <w:bookmarkStart w:id="26" w:name="рабочие-листы-ввода-данных"/>
    <w:p>
      <w:pPr>
        <w:pStyle w:val="Heading3"/>
      </w:pPr>
      <w:r>
        <w:t xml:space="preserve">Рабочие листы ввода данных</w:t>
      </w:r>
    </w:p>
    <w:p>
      <w:pPr>
        <w:pStyle w:val="FirstParagraph"/>
      </w:pPr>
      <w:r>
        <w:t xml:space="preserve">Рабочие листы (РЛ) определяют экранные формы, которые используются при вводе и корректировке библиографической записи. Типология РЛ соответствует методике составления библиографических записей и разделяет монографическое, сводное и аналитическое описание.</w:t>
      </w:r>
    </w:p>
    <w:p>
      <w:pPr>
        <w:pStyle w:val="BodyText"/>
      </w:pPr>
      <w:r>
        <w:t xml:space="preserve">Вложенные рабочие листы позволяют переиспользовать общие группы элементов данных. Если состав общей группы меняется, исправление выполняется в одном месте и затем используется в нескольких основных РЛ.</w:t>
      </w:r>
    </w:p>
    <w:p>
      <w:pPr>
        <w:pStyle w:val="BodyText"/>
      </w:pPr>
      <w:r>
        <w:t xml:space="preserve">Одностраничные РЛ могут применяться для специализированной обработки: систематизации, предметизации, краеведения, описания редких книг и содержания сборников. В таких режимах остальные элементы записи могут быть доступны только для просмотра.</w:t>
      </w:r>
    </w:p>
    <w:bookmarkStart w:id="19" w:name="основные-рабочие-листы"/>
    <w:p>
      <w:pPr>
        <w:pStyle w:val="Heading4"/>
      </w:pPr>
      <w:r>
        <w:t xml:space="preserve">1. Основные рабочие листы</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РЛ</w:t>
            </w:r>
          </w:p>
        </w:tc>
        <w:tc>
          <w:tcPr/>
          <w:p>
            <w:pPr>
              <w:pStyle w:val="Compact"/>
            </w:pPr>
            <w:r>
              <w:t xml:space="preserve">Код</w:t>
            </w:r>
          </w:p>
        </w:tc>
        <w:tc>
          <w:tcPr/>
          <w:p>
            <w:pPr>
              <w:pStyle w:val="Compact"/>
            </w:pPr>
            <w:r>
              <w:t xml:space="preserve">Назначение</w:t>
            </w:r>
          </w:p>
        </w:tc>
        <w:tc>
          <w:tcPr/>
          <w:p>
            <w:pPr>
              <w:pStyle w:val="Compact"/>
            </w:pPr>
            <w:r>
              <w:t xml:space="preserve">Основной состав</w:t>
            </w:r>
          </w:p>
        </w:tc>
      </w:tr>
      <w:tr>
        <w:tc>
          <w:tcPr/>
          <w:p>
            <w:pPr>
              <w:pStyle w:val="Compact"/>
            </w:pPr>
            <w:r>
              <w:rPr>
                <w:rStyle w:val="VerbatimChar"/>
              </w:rPr>
              <w:t xml:space="preserve">PAZK42</w:t>
            </w:r>
          </w:p>
        </w:tc>
        <w:tc>
          <w:tcPr/>
          <w:p>
            <w:pPr>
              <w:pStyle w:val="Compact"/>
            </w:pPr>
            <w:r>
              <w:rPr>
                <w:rStyle w:val="VerbatimChar"/>
              </w:rPr>
              <w:t xml:space="preserve">PAZK</w:t>
            </w:r>
          </w:p>
        </w:tc>
        <w:tc>
          <w:tcPr/>
          <w:p>
            <w:pPr>
              <w:pStyle w:val="Compact"/>
            </w:pPr>
            <w:r>
              <w:t xml:space="preserve">Монографическое описание однотомника или тома с частным заглавием под индивидуальным автором, коллективным автором или заглавием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PVK42</w:t>
            </w:r>
          </w:p>
        </w:tc>
        <w:tc>
          <w:tcPr/>
          <w:p>
            <w:pPr>
              <w:pStyle w:val="Compact"/>
            </w:pPr>
            <w:r>
              <w:rPr>
                <w:rStyle w:val="VerbatimChar"/>
              </w:rPr>
              <w:t xml:space="preserve">PVK</w:t>
            </w:r>
          </w:p>
        </w:tc>
        <w:tc>
          <w:tcPr/>
          <w:p>
            <w:pPr>
              <w:pStyle w:val="Compact"/>
            </w:pPr>
            <w:r>
              <w:t xml:space="preserve">Монографическое описание под временным коллективным автором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SPEC42</w:t>
            </w:r>
          </w:p>
        </w:tc>
        <w:tc>
          <w:tcPr/>
          <w:p>
            <w:pPr>
              <w:pStyle w:val="Compact"/>
            </w:pPr>
            <w:r>
              <w:rPr>
                <w:rStyle w:val="VerbatimChar"/>
              </w:rPr>
              <w:t xml:space="preserve">SPEC</w:t>
            </w:r>
          </w:p>
        </w:tc>
        <w:tc>
          <w:tcPr/>
          <w:p>
            <w:pPr>
              <w:pStyle w:val="Compact"/>
            </w:pPr>
            <w:r>
              <w:t xml:space="preserve">Сводное описание тома: общая часть и спецификация</w:t>
            </w:r>
          </w:p>
        </w:tc>
        <w:tc>
          <w:tcPr/>
          <w:p>
            <w:pPr>
              <w:pStyle w:val="Compact"/>
            </w:pPr>
            <w:r>
              <w:rPr>
                <w:rStyle w:val="VerbatimChar"/>
              </w:rPr>
              <w:t xml:space="preserve">МН-общ.</w:t>
            </w:r>
            <w:r>
              <w:t xml:space="preserve">,</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OJ51</w:t>
            </w:r>
          </w:p>
        </w:tc>
        <w:tc>
          <w:tcPr/>
          <w:p>
            <w:pPr>
              <w:pStyle w:val="Compact"/>
            </w:pPr>
            <w:r>
              <w:rPr>
                <w:rStyle w:val="VerbatimChar"/>
              </w:rPr>
              <w:t xml:space="preserve">J</w:t>
            </w:r>
          </w:p>
        </w:tc>
        <w:tc>
          <w:tcPr/>
          <w:p>
            <w:pPr>
              <w:pStyle w:val="Compact"/>
            </w:pPr>
            <w:r>
              <w:t xml:space="preserve">Сводное описание журнала, газеты или другого сериального издания без частных заглавий выпусков</w:t>
            </w:r>
          </w:p>
        </w:tc>
        <w:tc>
          <w:tcPr/>
          <w:p>
            <w:pPr>
              <w:pStyle w:val="Compact"/>
            </w:pP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Regi</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!RPJ51</w:t>
            </w:r>
          </w:p>
        </w:tc>
        <w:tc>
          <w:tcPr/>
          <w:p>
            <w:pPr>
              <w:pStyle w:val="Compact"/>
            </w:pPr>
            <w:r>
              <w:rPr>
                <w:rStyle w:val="VerbatimChar"/>
              </w:rPr>
              <w:t xml:space="preserve">J</w:t>
            </w:r>
          </w:p>
        </w:tc>
        <w:tc>
          <w:tcPr/>
          <w:p>
            <w:pPr>
              <w:pStyle w:val="Compact"/>
            </w:pPr>
            <w:r>
              <w:t xml:space="preserve">Регистрация поступлений и корректировка описаний журналов</w:t>
            </w:r>
          </w:p>
        </w:tc>
        <w:tc>
          <w:tcPr/>
          <w:p>
            <w:pPr>
              <w:pStyle w:val="Compact"/>
            </w:pPr>
            <w:r>
              <w:rPr>
                <w:rStyle w:val="VerbatimChar"/>
              </w:rPr>
              <w:t xml:space="preserve">Regi</w:t>
            </w:r>
            <w:r>
              <w:t xml:space="preserve">,</w:t>
            </w:r>
            <w:r>
              <w:t xml:space="preserve"> </w:t>
            </w: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!NJ31</w:t>
            </w:r>
          </w:p>
        </w:tc>
        <w:tc>
          <w:tcPr/>
          <w:p>
            <w:pPr>
              <w:pStyle w:val="Compact"/>
            </w:pPr>
            <w:r>
              <w:rPr>
                <w:rStyle w:val="VerbatimChar"/>
              </w:rPr>
              <w:t xml:space="preserve">NJ</w:t>
            </w:r>
          </w:p>
        </w:tc>
        <w:tc>
          <w:tcPr/>
          <w:p>
            <w:pPr>
              <w:pStyle w:val="Compact"/>
            </w:pPr>
            <w:r>
              <w:t xml:space="preserve">Описание отдельного номера или выпуска журнала</w:t>
            </w:r>
          </w:p>
        </w:tc>
        <w:tc>
          <w:tcPr/>
          <w:p>
            <w:pPr>
              <w:pStyle w:val="Compact"/>
            </w:pPr>
            <w:r>
              <w:t xml:space="preserve">Специальные страницы номера</w:t>
            </w:r>
          </w:p>
        </w:tc>
      </w:tr>
      <w:tr>
        <w:tc>
          <w:tcPr/>
          <w:p>
            <w:pPr>
              <w:pStyle w:val="Compact"/>
            </w:pPr>
            <w:r>
              <w:rPr>
                <w:rStyle w:val="VerbatimChar"/>
              </w:rPr>
              <w:t xml:space="preserve">!NJ31</w:t>
            </w:r>
          </w:p>
        </w:tc>
        <w:tc>
          <w:tcPr/>
          <w:p>
            <w:pPr>
              <w:pStyle w:val="Compact"/>
            </w:pPr>
            <w:r>
              <w:rPr>
                <w:rStyle w:val="VerbatimChar"/>
              </w:rPr>
              <w:t xml:space="preserve">NJK</w:t>
            </w:r>
          </w:p>
        </w:tc>
        <w:tc>
          <w:tcPr/>
          <w:p>
            <w:pPr>
              <w:pStyle w:val="Compact"/>
            </w:pPr>
            <w:r>
              <w:t xml:space="preserve">Описание подшивки номеров или выпусков журнала</w:t>
            </w:r>
          </w:p>
        </w:tc>
        <w:tc>
          <w:tcPr/>
          <w:p>
            <w:pPr>
              <w:pStyle w:val="Compact"/>
            </w:pPr>
            <w:r>
              <w:t xml:space="preserve">Специальные страницы подшивки</w:t>
            </w:r>
          </w:p>
        </w:tc>
      </w:tr>
      <w:tr>
        <w:tc>
          <w:tcPr/>
          <w:p>
            <w:pPr>
              <w:pStyle w:val="Compact"/>
            </w:pPr>
            <w:r>
              <w:rPr>
                <w:rStyle w:val="VerbatimChar"/>
              </w:rPr>
              <w:t xml:space="preserve">!NJ31</w:t>
            </w:r>
          </w:p>
        </w:tc>
        <w:tc>
          <w:tcPr/>
          <w:p>
            <w:pPr>
              <w:pStyle w:val="Compact"/>
            </w:pPr>
            <w:r>
              <w:rPr>
                <w:rStyle w:val="VerbatimChar"/>
              </w:rPr>
              <w:t xml:space="preserve">NJP</w:t>
            </w:r>
          </w:p>
        </w:tc>
        <w:tc>
          <w:tcPr/>
          <w:p>
            <w:pPr>
              <w:pStyle w:val="Compact"/>
            </w:pPr>
            <w:r>
              <w:t xml:space="preserve">Описание номера или выпуска, вошедшего в подшивку</w:t>
            </w:r>
          </w:p>
        </w:tc>
        <w:tc>
          <w:tcPr/>
          <w:p>
            <w:pPr>
              <w:pStyle w:val="Compact"/>
            </w:pPr>
            <w:r>
              <w:t xml:space="preserve">Специальные страницы номера в подшивке</w:t>
            </w:r>
          </w:p>
        </w:tc>
      </w:tr>
      <w:tr>
        <w:tc>
          <w:tcPr/>
          <w:p>
            <w:pPr>
              <w:pStyle w:val="Compact"/>
            </w:pPr>
            <w:r>
              <w:rPr>
                <w:rStyle w:val="VerbatimChar"/>
              </w:rPr>
              <w:t xml:space="preserve">ASP42</w:t>
            </w:r>
          </w:p>
        </w:tc>
        <w:tc>
          <w:tcPr/>
          <w:p>
            <w:pPr>
              <w:pStyle w:val="Compact"/>
            </w:pPr>
            <w:r>
              <w:rPr>
                <w:rStyle w:val="VerbatimChar"/>
              </w:rPr>
              <w:t xml:space="preserve">ASP</w:t>
            </w:r>
          </w:p>
        </w:tc>
        <w:tc>
          <w:tcPr/>
          <w:p>
            <w:pPr>
              <w:pStyle w:val="Compact"/>
            </w:pPr>
            <w:r>
              <w:t xml:space="preserve">Аналитическое описание статьи</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r>
              <w:t xml:space="preserve">,</w:t>
            </w:r>
            <w:r>
              <w:t xml:space="preserve"> </w:t>
            </w:r>
            <w:r>
              <w:rPr>
                <w:rStyle w:val="VerbatimChar"/>
              </w:rPr>
              <w:t xml:space="preserve">Рец/Реф</w:t>
            </w:r>
            <w:r>
              <w:t xml:space="preserve">,</w:t>
            </w:r>
            <w:r>
              <w:t xml:space="preserve"> </w:t>
            </w:r>
            <w:r>
              <w:rPr>
                <w:rStyle w:val="VerbatimChar"/>
              </w:rPr>
              <w:t xml:space="preserve">Content</w:t>
            </w:r>
            <w:r>
              <w:t xml:space="preserve">,</w:t>
            </w:r>
            <w:r>
              <w:t xml:space="preserve"> </w:t>
            </w:r>
            <w:r>
              <w:rPr>
                <w:rStyle w:val="VerbatimChar"/>
              </w:rPr>
              <w:t xml:space="preserve">KRV</w:t>
            </w:r>
          </w:p>
        </w:tc>
      </w:tr>
      <w:tr>
        <w:tc>
          <w:tcPr/>
          <w:p>
            <w:pPr>
              <w:pStyle w:val="Compact"/>
            </w:pPr>
            <w:r>
              <w:rPr>
                <w:rStyle w:val="VerbatimChar"/>
              </w:rPr>
              <w:t xml:space="preserve">AUNTD42</w:t>
            </w:r>
          </w:p>
        </w:tc>
        <w:tc>
          <w:tcPr/>
          <w:p>
            <w:pPr>
              <w:pStyle w:val="Compact"/>
            </w:pPr>
            <w:r>
              <w:rPr>
                <w:rStyle w:val="VerbatimChar"/>
              </w:rPr>
              <w:t xml:space="preserve">AUNTD</w:t>
            </w:r>
          </w:p>
        </w:tc>
        <w:tc>
          <w:tcPr/>
          <w:p>
            <w:pPr>
              <w:pStyle w:val="Compact"/>
            </w:pPr>
            <w:r>
              <w:t xml:space="preserve">Аналитическое описание юридического, директивного или нормативно-технического документа</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p>
        </w:tc>
      </w:tr>
      <w:tr>
        <w:tc>
          <w:tcPr/>
          <w:p>
            <w:pPr>
              <w:pStyle w:val="Compact"/>
            </w:pPr>
            <w:r>
              <w:rPr>
                <w:rStyle w:val="VerbatimChar"/>
              </w:rPr>
              <w:t xml:space="preserve">MUSP</w:t>
            </w:r>
          </w:p>
        </w:tc>
        <w:tc>
          <w:tcPr/>
          <w:p>
            <w:pPr>
              <w:pStyle w:val="Compact"/>
            </w:pPr>
            <w:r>
              <w:rPr>
                <w:rStyle w:val="VerbatimChar"/>
              </w:rPr>
              <w:t xml:space="preserve">MUSP</w:t>
            </w:r>
          </w:p>
        </w:tc>
        <w:tc>
          <w:tcPr/>
          <w:p>
            <w:pPr>
              <w:pStyle w:val="Compact"/>
            </w:pPr>
            <w:r>
              <w:t xml:space="preserve">Описание музейного предмета</w:t>
            </w:r>
          </w:p>
        </w:tc>
        <w:tc>
          <w:tcPr/>
          <w:p>
            <w:pPr>
              <w:pStyle w:val="Compact"/>
            </w:pPr>
            <w:r>
              <w:rPr>
                <w:rStyle w:val="VerbatimChar"/>
              </w:rPr>
              <w:t xml:space="preserve">Компл</w:t>
            </w:r>
            <w:r>
              <w:t xml:space="preserve">,</w:t>
            </w:r>
            <w:r>
              <w:t xml:space="preserve"> </w:t>
            </w:r>
            <w:r>
              <w:rPr>
                <w:rStyle w:val="VerbatimChar"/>
              </w:rPr>
              <w:t xml:space="preserve">Коды</w:t>
            </w:r>
            <w:r>
              <w:t xml:space="preserve">,</w:t>
            </w:r>
            <w:r>
              <w:t xml:space="preserve"> </w:t>
            </w:r>
            <w:r>
              <w:rPr>
                <w:rStyle w:val="VerbatimChar"/>
              </w:rPr>
              <w:t xml:space="preserve">Основное описание</w:t>
            </w:r>
            <w:r>
              <w:t xml:space="preserve">,</w:t>
            </w:r>
            <w:r>
              <w:t xml:space="preserve"> </w:t>
            </w:r>
            <w:r>
              <w:rPr>
                <w:rStyle w:val="VerbatimChar"/>
              </w:rPr>
              <w:t xml:space="preserve">Расширенное</w:t>
            </w:r>
            <w:r>
              <w:t xml:space="preserve">,</w:t>
            </w:r>
            <w:r>
              <w:t xml:space="preserve"> </w:t>
            </w:r>
            <w:r>
              <w:rPr>
                <w:rStyle w:val="VerbatimChar"/>
              </w:rPr>
              <w:t xml:space="preserve">Музей</w:t>
            </w:r>
            <w:r>
              <w:t xml:space="preserve">,</w:t>
            </w:r>
            <w:r>
              <w:t xml:space="preserve"> </w:t>
            </w:r>
            <w:r>
              <w:rPr>
                <w:rStyle w:val="VerbatimChar"/>
              </w:rPr>
              <w:t xml:space="preserve">Систематизация</w:t>
            </w:r>
            <w:r>
              <w:t xml:space="preserve">,</w:t>
            </w:r>
            <w:r>
              <w:t xml:space="preserve"> </w:t>
            </w:r>
            <w:r>
              <w:rPr>
                <w:rStyle w:val="VerbatimChar"/>
              </w:rPr>
              <w:t xml:space="preserve">Специфические</w:t>
            </w:r>
            <w:r>
              <w:t xml:space="preserve">,</w:t>
            </w:r>
            <w:r>
              <w:t xml:space="preserve"> </w:t>
            </w:r>
            <w:r>
              <w:rPr>
                <w:rStyle w:val="VerbatimChar"/>
              </w:rPr>
              <w:t xml:space="preserve">Технология</w:t>
            </w:r>
            <w:r>
              <w:t xml:space="preserve">,</w:t>
            </w:r>
            <w:r>
              <w:t xml:space="preserve"> </w:t>
            </w:r>
            <w:r>
              <w:rPr>
                <w:rStyle w:val="VerbatimChar"/>
              </w:rPr>
              <w:t xml:space="preserve">Экземпляры</w:t>
            </w:r>
          </w:p>
        </w:tc>
      </w:tr>
      <w:tr>
        <w:tc>
          <w:tcPr/>
          <w:p>
            <w:pPr>
              <w:pStyle w:val="Compact"/>
            </w:pPr>
            <w:r>
              <w:rPr>
                <w:rStyle w:val="VerbatimChar"/>
              </w:rPr>
              <w:t xml:space="preserve">IBIS</w:t>
            </w:r>
          </w:p>
        </w:tc>
        <w:tc>
          <w:tcPr/>
          <w:p>
            <w:pPr>
              <w:pStyle w:val="Compact"/>
            </w:pPr>
            <w:r>
              <w:rPr>
                <w:rStyle w:val="VerbatimChar"/>
              </w:rPr>
              <w:t xml:space="preserve">IBIS</w:t>
            </w:r>
          </w:p>
        </w:tc>
        <w:tc>
          <w:tcPr/>
          <w:p>
            <w:pPr>
              <w:pStyle w:val="Compact"/>
            </w:pPr>
            <w:r>
              <w:t xml:space="preserve">Упрощённое библиографическое описание книги</w:t>
            </w:r>
          </w:p>
        </w:tc>
        <w:tc>
          <w:tcPr/>
          <w:p>
            <w:pPr>
              <w:pStyle w:val="Compact"/>
            </w:pPr>
            <w:r>
              <w:rPr>
                <w:rStyle w:val="VerbatimChar"/>
              </w:rPr>
              <w:t xml:space="preserve">Основное БО</w:t>
            </w:r>
            <w:r>
              <w:t xml:space="preserve">,</w:t>
            </w:r>
            <w:r>
              <w:t xml:space="preserve"> </w:t>
            </w:r>
            <w:r>
              <w:rPr>
                <w:rStyle w:val="VerbatimChar"/>
              </w:rPr>
              <w:t xml:space="preserve">Экземпляры</w:t>
            </w:r>
            <w:r>
              <w:t xml:space="preserve">,</w:t>
            </w:r>
            <w:r>
              <w:t xml:space="preserve"> </w:t>
            </w:r>
            <w:r>
              <w:rPr>
                <w:rStyle w:val="VerbatimChar"/>
              </w:rPr>
              <w:t xml:space="preserve">Систематизация</w:t>
            </w:r>
            <w:r>
              <w:t xml:space="preserve">,</w:t>
            </w:r>
            <w:r>
              <w:t xml:space="preserve"> </w:t>
            </w:r>
            <w:r>
              <w:rPr>
                <w:rStyle w:val="VerbatimChar"/>
              </w:rPr>
              <w:t xml:space="preserve">Технология</w:t>
            </w:r>
          </w:p>
        </w:tc>
      </w:tr>
    </w:tbl>
    <w:p>
      <w:pPr>
        <w:pStyle w:val="BodyText"/>
      </w:pPr>
      <w:r>
        <w:t xml:space="preserve">Варианты</w:t>
      </w:r>
      <w:r>
        <w:t xml:space="preserve"> </w:t>
      </w:r>
      <w:r>
        <w:rPr>
          <w:rStyle w:val="VerbatimChar"/>
        </w:rPr>
        <w:t xml:space="preserve">PAZK71</w:t>
      </w:r>
      <w:r>
        <w:t xml:space="preserve">,</w:t>
      </w:r>
      <w:r>
        <w:t xml:space="preserve"> </w:t>
      </w:r>
      <w:r>
        <w:rPr>
          <w:rStyle w:val="VerbatimChar"/>
        </w:rPr>
        <w:t xml:space="preserve">PVK71</w:t>
      </w:r>
      <w:r>
        <w:t xml:space="preserve">,</w:t>
      </w:r>
      <w:r>
        <w:t xml:space="preserve"> </w:t>
      </w:r>
      <w:r>
        <w:rPr>
          <w:rStyle w:val="VerbatimChar"/>
        </w:rPr>
        <w:t xml:space="preserve">SPEC71</w:t>
      </w:r>
      <w:r>
        <w:t xml:space="preserve">,</w:t>
      </w:r>
      <w:r>
        <w:t xml:space="preserve"> </w:t>
      </w:r>
      <w:r>
        <w:rPr>
          <w:rStyle w:val="VerbatimChar"/>
        </w:rPr>
        <w:t xml:space="preserve">ASP71</w:t>
      </w:r>
      <w:r>
        <w:t xml:space="preserve"> </w:t>
      </w:r>
      <w:r>
        <w:t xml:space="preserve">и</w:t>
      </w:r>
      <w:r>
        <w:t xml:space="preserve"> </w:t>
      </w:r>
      <w:r>
        <w:rPr>
          <w:rStyle w:val="VerbatimChar"/>
        </w:rPr>
        <w:t xml:space="preserve">AUNTD71</w:t>
      </w:r>
      <w:r>
        <w:t xml:space="preserve"> </w:t>
      </w:r>
      <w:r>
        <w:t xml:space="preserve">повторяют соответствующие рабочие листы, но используют расширенный РЛ</w:t>
      </w:r>
      <w:r>
        <w:t xml:space="preserve"> </w:t>
      </w:r>
      <w:r>
        <w:rPr>
          <w:rStyle w:val="VerbatimChar"/>
        </w:rPr>
        <w:t xml:space="preserve">Content71</w:t>
      </w:r>
      <w:r>
        <w:t xml:space="preserve"> </w:t>
      </w:r>
      <w:r>
        <w:t xml:space="preserve">для ввода содержания.</w:t>
      </w:r>
    </w:p>
    <w:bookmarkEnd w:id="19"/>
    <w:bookmarkStart w:id="20" w:name="вложенные-рабочие-листы"/>
    <w:p>
      <w:pPr>
        <w:pStyle w:val="Heading4"/>
      </w:pPr>
      <w:r>
        <w:t xml:space="preserve">2. Вложенные рабочие листы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Вложенный РЛ</w:t>
            </w:r>
          </w:p>
        </w:tc>
        <w:tc>
          <w:tcPr/>
          <w:p>
            <w:pPr>
              <w:pStyle w:val="Compact"/>
            </w:pPr>
            <w:r>
              <w:t xml:space="preserve">Где используется</w:t>
            </w:r>
          </w:p>
        </w:tc>
        <w:tc>
          <w:tcPr/>
          <w:p>
            <w:pPr>
              <w:pStyle w:val="Compact"/>
            </w:pPr>
            <w:r>
              <w:t xml:space="preserve">Назначение</w:t>
            </w:r>
          </w:p>
        </w:tc>
      </w:tr>
      <w:tr>
        <w:tc>
          <w:tcPr/>
          <w:p>
            <w:pPr>
              <w:pStyle w:val="Compact"/>
            </w:pPr>
            <w:r>
              <w:rPr>
                <w:rStyle w:val="VerbatimChar"/>
              </w:rPr>
              <w:t xml:space="preserve">Bouni</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Общие страницы для описания книг: коды, основное БО, расширенное БО, специфические сведения, экземпляры, технология</w:t>
            </w:r>
          </w:p>
        </w:tc>
      </w:tr>
      <w:tr>
        <w:tc>
          <w:tcPr/>
          <w:p>
            <w:pPr>
              <w:pStyle w:val="Compact"/>
            </w:pPr>
            <w:r>
              <w:rPr>
                <w:rStyle w:val="VerbatimChar"/>
              </w:rPr>
              <w:t xml:space="preserve">BouniA</w:t>
            </w:r>
          </w:p>
        </w:tc>
        <w:tc>
          <w:tcPr/>
          <w:p>
            <w:pPr>
              <w:pStyle w:val="Compact"/>
            </w:pPr>
            <w:r>
              <w:rPr>
                <w:rStyle w:val="VerbatimChar"/>
              </w:rPr>
              <w:t xml:space="preserve">ASP</w:t>
            </w:r>
            <w:r>
              <w:t xml:space="preserve">,</w:t>
            </w:r>
            <w:r>
              <w:t xml:space="preserve"> </w:t>
            </w:r>
            <w:r>
              <w:rPr>
                <w:rStyle w:val="VerbatimChar"/>
              </w:rPr>
              <w:t xml:space="preserve">AUNTD</w:t>
            </w:r>
          </w:p>
        </w:tc>
        <w:tc>
          <w:tcPr/>
          <w:p>
            <w:pPr>
              <w:pStyle w:val="Compact"/>
            </w:pPr>
            <w:r>
              <w:t xml:space="preserve">Общие страницы аналитических описаний без страницы экземпляров</w:t>
            </w:r>
          </w:p>
        </w:tc>
      </w:tr>
      <w:tr>
        <w:tc>
          <w:tcPr/>
          <w:p>
            <w:pPr>
              <w:pStyle w:val="Compact"/>
            </w:pPr>
            <w:r>
              <w:rPr>
                <w:rStyle w:val="VerbatimChar"/>
              </w:rPr>
              <w:t xml:space="preserve">Index</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Систематизация, предметизация, персоналии</w:t>
            </w:r>
          </w:p>
        </w:tc>
      </w:tr>
      <w:tr>
        <w:tc>
          <w:tcPr/>
          <w:p>
            <w:pPr>
              <w:pStyle w:val="Compact"/>
            </w:pPr>
            <w:r>
              <w:rPr>
                <w:rStyle w:val="VerbatimChar"/>
              </w:rPr>
              <w:t xml:space="preserve">Content</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Содержание или оглавление</w:t>
            </w:r>
          </w:p>
        </w:tc>
      </w:tr>
      <w:tr>
        <w:tc>
          <w:tcPr/>
          <w:p>
            <w:pPr>
              <w:pStyle w:val="Compact"/>
            </w:pPr>
            <w:r>
              <w:rPr>
                <w:rStyle w:val="VerbatimChar"/>
              </w:rPr>
              <w:t xml:space="preserve">Content71</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Расширенный ввод содержания, включая краткое содержание по заглавию или автору</w:t>
            </w:r>
          </w:p>
        </w:tc>
      </w:tr>
      <w:tr>
        <w:tc>
          <w:tcPr/>
          <w:p>
            <w:pPr>
              <w:pStyle w:val="Compact"/>
            </w:pPr>
            <w:r>
              <w:rPr>
                <w:rStyle w:val="VerbatimChar"/>
              </w:rPr>
              <w:t xml:space="preserve">KO</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Элементы данных книгообеспеченности</w:t>
            </w:r>
          </w:p>
        </w:tc>
      </w:tr>
      <w:tr>
        <w:tc>
          <w:tcPr/>
          <w:p>
            <w:pPr>
              <w:pStyle w:val="Compact"/>
            </w:pPr>
            <w:r>
              <w:rPr>
                <w:rStyle w:val="VerbatimChar"/>
              </w:rPr>
              <w:t xml:space="preserve">RD</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Данные редких книг</w:t>
            </w:r>
          </w:p>
        </w:tc>
      </w:tr>
      <w:tr>
        <w:tc>
          <w:tcPr/>
          <w:p>
            <w:pPr>
              <w:pStyle w:val="Compact"/>
            </w:pPr>
            <w:r>
              <w:rPr>
                <w:rStyle w:val="VerbatimChar"/>
              </w:rPr>
              <w:t xml:space="preserve">KRV</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Краеведение</w:t>
            </w:r>
          </w:p>
        </w:tc>
      </w:tr>
      <w:tr>
        <w:tc>
          <w:tcPr/>
          <w:p>
            <w:pPr>
              <w:pStyle w:val="Compact"/>
            </w:pPr>
            <w:r>
              <w:rPr>
                <w:rStyle w:val="VerbatimChar"/>
              </w:rPr>
              <w:t xml:space="preserve">Techn</w:t>
            </w:r>
          </w:p>
        </w:tc>
        <w:tc>
          <w:tcPr/>
          <w:p>
            <w:pPr>
              <w:pStyle w:val="Compact"/>
            </w:pPr>
            <w:r>
              <w:rPr>
                <w:rStyle w:val="VerbatimChar"/>
              </w:rPr>
              <w:t xml:space="preserve">Bouni</w:t>
            </w:r>
            <w:r>
              <w:t xml:space="preserve">,</w:t>
            </w:r>
            <w:r>
              <w:t xml:space="preserve"> </w:t>
            </w:r>
            <w:r>
              <w:rPr>
                <w:rStyle w:val="VerbatimChar"/>
              </w:rPr>
              <w:t xml:space="preserve">BouniA</w:t>
            </w:r>
          </w:p>
        </w:tc>
        <w:tc>
          <w:tcPr/>
          <w:p>
            <w:pPr>
              <w:pStyle w:val="Compact"/>
            </w:pPr>
            <w:r>
              <w:t xml:space="preserve">Технологические сведения</w:t>
            </w:r>
          </w:p>
        </w:tc>
      </w:tr>
      <w:tr>
        <w:tc>
          <w:tcPr/>
          <w:p>
            <w:pPr>
              <w:pStyle w:val="Compact"/>
            </w:pPr>
            <w:r>
              <w:rPr>
                <w:rStyle w:val="VerbatimChar"/>
              </w:rPr>
              <w:t xml:space="preserve">Boj</w:t>
            </w:r>
          </w:p>
        </w:tc>
        <w:tc>
          <w:tcPr/>
          <w:p>
            <w:pPr>
              <w:pStyle w:val="Compact"/>
            </w:pPr>
            <w:r>
              <w:rPr>
                <w:rStyle w:val="VerbatimChar"/>
              </w:rPr>
              <w:t xml:space="preserve">J</w:t>
            </w:r>
          </w:p>
        </w:tc>
        <w:tc>
          <w:tcPr/>
          <w:p>
            <w:pPr>
              <w:pStyle w:val="Compact"/>
            </w:pPr>
            <w:r>
              <w:t xml:space="preserve">Библиографическое описание журнала</w:t>
            </w:r>
          </w:p>
        </w:tc>
      </w:tr>
      <w:tr>
        <w:tc>
          <w:tcPr/>
          <w:p>
            <w:pPr>
              <w:pStyle w:val="Compact"/>
            </w:pPr>
            <w:r>
              <w:rPr>
                <w:rStyle w:val="VerbatimChar"/>
              </w:rPr>
              <w:t xml:space="preserve">Kod</w:t>
            </w:r>
          </w:p>
        </w:tc>
        <w:tc>
          <w:tcPr/>
          <w:p>
            <w:pPr>
              <w:pStyle w:val="Compact"/>
            </w:pPr>
            <w:r>
              <w:rPr>
                <w:rStyle w:val="VerbatimChar"/>
              </w:rPr>
              <w:t xml:space="preserve">Boj</w:t>
            </w:r>
          </w:p>
        </w:tc>
        <w:tc>
          <w:tcPr/>
          <w:p>
            <w:pPr>
              <w:pStyle w:val="Compact"/>
            </w:pPr>
            <w:r>
              <w:t xml:space="preserve">Кодированная информация журнала</w:t>
            </w:r>
          </w:p>
        </w:tc>
      </w:tr>
      <w:tr>
        <w:tc>
          <w:tcPr/>
          <w:p>
            <w:pPr>
              <w:pStyle w:val="Compact"/>
            </w:pPr>
            <w:r>
              <w:rPr>
                <w:rStyle w:val="VerbatimChar"/>
              </w:rPr>
              <w:t xml:space="preserve">Rboi</w:t>
            </w:r>
          </w:p>
        </w:tc>
        <w:tc>
          <w:tcPr/>
          <w:p>
            <w:pPr>
              <w:pStyle w:val="Compact"/>
            </w:pPr>
            <w:r>
              <w:rPr>
                <w:rStyle w:val="VerbatimChar"/>
              </w:rPr>
              <w:t xml:space="preserve">Boj</w:t>
            </w:r>
          </w:p>
        </w:tc>
        <w:tc>
          <w:tcPr/>
          <w:p>
            <w:pPr>
              <w:pStyle w:val="Compact"/>
            </w:pPr>
            <w:r>
              <w:t xml:space="preserve">Расширенное библиографическое описание и изменения</w:t>
            </w:r>
          </w:p>
        </w:tc>
      </w:tr>
      <w:tr>
        <w:tc>
          <w:tcPr/>
          <w:p>
            <w:pPr>
              <w:pStyle w:val="Compact"/>
            </w:pPr>
            <w:r>
              <w:rPr>
                <w:rStyle w:val="VerbatimChar"/>
              </w:rPr>
              <w:t xml:space="preserve">Fizh</w:t>
            </w:r>
          </w:p>
        </w:tc>
        <w:tc>
          <w:tcPr/>
          <w:p>
            <w:pPr>
              <w:pStyle w:val="Compact"/>
            </w:pPr>
            <w:r>
              <w:rPr>
                <w:rStyle w:val="VerbatimChar"/>
              </w:rPr>
              <w:t xml:space="preserve">J</w:t>
            </w:r>
          </w:p>
        </w:tc>
        <w:tc>
          <w:tcPr/>
          <w:p>
            <w:pPr>
              <w:pStyle w:val="Compact"/>
            </w:pPr>
            <w:r>
              <w:t xml:space="preserve">Физические характеристики журнала</w:t>
            </w:r>
          </w:p>
        </w:tc>
      </w:tr>
      <w:tr>
        <w:tc>
          <w:tcPr/>
          <w:p>
            <w:pPr>
              <w:pStyle w:val="Compact"/>
            </w:pPr>
            <w:r>
              <w:rPr>
                <w:rStyle w:val="VerbatimChar"/>
              </w:rPr>
              <w:t xml:space="preserve">Regi</w:t>
            </w:r>
          </w:p>
        </w:tc>
        <w:tc>
          <w:tcPr/>
          <w:p>
            <w:pPr>
              <w:pStyle w:val="Compact"/>
            </w:pPr>
            <w:r>
              <w:rPr>
                <w:rStyle w:val="VerbatimChar"/>
              </w:rPr>
              <w:t xml:space="preserve">J</w:t>
            </w:r>
          </w:p>
        </w:tc>
        <w:tc>
          <w:tcPr/>
          <w:p>
            <w:pPr>
              <w:pStyle w:val="Compact"/>
            </w:pPr>
            <w:r>
              <w:t xml:space="preserve">Регистрация поступлений</w:t>
            </w:r>
          </w:p>
        </w:tc>
      </w:tr>
      <w:tr>
        <w:tc>
          <w:tcPr/>
          <w:p>
            <w:pPr>
              <w:pStyle w:val="Compact"/>
            </w:pPr>
            <w:r>
              <w:rPr>
                <w:rStyle w:val="VerbatimChar"/>
              </w:rPr>
              <w:t xml:space="preserve">Kumul</w:t>
            </w:r>
          </w:p>
        </w:tc>
        <w:tc>
          <w:tcPr/>
          <w:p>
            <w:pPr>
              <w:pStyle w:val="Compact"/>
            </w:pPr>
            <w:r>
              <w:rPr>
                <w:rStyle w:val="VerbatimChar"/>
              </w:rPr>
              <w:t xml:space="preserve">J</w:t>
            </w:r>
          </w:p>
        </w:tc>
        <w:tc>
          <w:tcPr/>
          <w:p>
            <w:pPr>
              <w:pStyle w:val="Compact"/>
            </w:pPr>
            <w:r>
              <w:t xml:space="preserve">Кумулированные сведения о поступлениях</w:t>
            </w:r>
          </w:p>
        </w:tc>
      </w:tr>
      <w:tr>
        <w:tc>
          <w:tcPr/>
          <w:p>
            <w:pPr>
              <w:pStyle w:val="Compact"/>
            </w:pPr>
            <w:r>
              <w:rPr>
                <w:rStyle w:val="VerbatimChar"/>
              </w:rPr>
              <w:t xml:space="preserve">Technj</w:t>
            </w:r>
          </w:p>
        </w:tc>
        <w:tc>
          <w:tcPr/>
          <w:p>
            <w:pPr>
              <w:pStyle w:val="Compact"/>
            </w:pPr>
            <w:r>
              <w:rPr>
                <w:rStyle w:val="VerbatimChar"/>
              </w:rPr>
              <w:t xml:space="preserve">J</w:t>
            </w:r>
          </w:p>
        </w:tc>
        <w:tc>
          <w:tcPr/>
          <w:p>
            <w:pPr>
              <w:pStyle w:val="Compact"/>
            </w:pPr>
            <w:r>
              <w:t xml:space="preserve">Технологические сведения журнала</w:t>
            </w:r>
          </w:p>
        </w:tc>
      </w:tr>
    </w:tbl>
    <w:bookmarkEnd w:id="20"/>
    <w:bookmarkStart w:id="21" w:name="книги-и-тома"/>
    <w:p>
      <w:pPr>
        <w:pStyle w:val="Heading4"/>
      </w:pPr>
      <w:r>
        <w:t xml:space="preserve">3. Книги и тома</w:t>
      </w:r>
    </w:p>
    <w:p>
      <w:pPr>
        <w:pStyle w:val="FirstParagraph"/>
      </w:pPr>
      <w:r>
        <w:t xml:space="preserve">РЛ</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используются для монографического описания однотомного издания или отдельного тома многотомного издания с частным заглавием.</w:t>
      </w:r>
    </w:p>
    <w:p>
      <w:pPr>
        <w:pStyle w:val="BodyText"/>
      </w:pPr>
      <w:r>
        <w:t xml:space="preserve">Код</w:t>
      </w:r>
      <w:r>
        <w:t xml:space="preserve"> </w:t>
      </w:r>
      <w:r>
        <w:rPr>
          <w:rStyle w:val="VerbatimChar"/>
        </w:rPr>
        <w:t xml:space="preserve">PAZK</w:t>
      </w:r>
      <w:r>
        <w:t xml:space="preserve"> </w:t>
      </w:r>
      <w:r>
        <w:t xml:space="preserve">применяется для описания под автором, под заглавием или под коллективом. Код</w:t>
      </w:r>
      <w:r>
        <w:t xml:space="preserve"> </w:t>
      </w:r>
      <w:r>
        <w:rPr>
          <w:rStyle w:val="VerbatimChar"/>
        </w:rPr>
        <w:t xml:space="preserve">PVK</w:t>
      </w:r>
      <w:r>
        <w:t xml:space="preserve"> </w:t>
      </w:r>
      <w:r>
        <w:t xml:space="preserve">применяется для описания под временным коллективом.</w:t>
      </w:r>
    </w:p>
    <w:p>
      <w:pPr>
        <w:pStyle w:val="BodyText"/>
      </w:pPr>
      <w:r>
        <w:t xml:space="preserve">Эти рабочие листы включают страницу проверки на дублетность, общие страницы описания книг и одностраничные РЛ для систематизации, содержания, книгообеспеченности, редких книг и краеведения.</w:t>
      </w:r>
    </w:p>
    <w:p>
      <w:pPr>
        <w:pStyle w:val="BodyText"/>
      </w:pPr>
      <w:r>
        <w:t xml:space="preserve">РЛ</w:t>
      </w:r>
      <w:r>
        <w:t xml:space="preserve"> </w:t>
      </w:r>
      <w:r>
        <w:rPr>
          <w:rStyle w:val="VerbatimChar"/>
        </w:rPr>
        <w:t xml:space="preserve">SPEC</w:t>
      </w:r>
      <w:r>
        <w:t xml:space="preserve"> </w:t>
      </w:r>
      <w:r>
        <w:t xml:space="preserve">используется для сводного описания тома, когда отдельный том не имеет частного заглавия и связан с общей частью многотомного издания. Проверка на дублетность выполняется при вводе элемента данных, связанного с объёмом конкретного тома.</w:t>
      </w:r>
    </w:p>
    <w:p>
      <w:pPr>
        <w:pStyle w:val="BodyText"/>
      </w:pPr>
      <w:r>
        <w:t xml:space="preserve">При поступлении второго и последующих томов можно использовать копирование ранее введённого документа с последующей корректировкой и дополнением сведений.</w:t>
      </w:r>
    </w:p>
    <w:bookmarkEnd w:id="21"/>
    <w:bookmarkStart w:id="22" w:name="аналитические-описания"/>
    <w:p>
      <w:pPr>
        <w:pStyle w:val="Heading4"/>
      </w:pPr>
      <w:r>
        <w:t xml:space="preserve">4. Аналитические описания</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Он содержит страницу дублетности со сведениями об источнике, общие страницы аналитического описания, страницу систематизации, содержание, краеведение и страницу</w:t>
      </w:r>
      <w:r>
        <w:t xml:space="preserve"> </w:t>
      </w:r>
      <w:r>
        <w:rPr>
          <w:rStyle w:val="VerbatimChar"/>
        </w:rPr>
        <w:t xml:space="preserve">Рецензия/Реферат</w:t>
      </w:r>
      <w:r>
        <w:t xml:space="preserve">.</w:t>
      </w:r>
    </w:p>
    <w:p>
      <w:pPr>
        <w:pStyle w:val="BodyText"/>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 Он содержит страницу дублетности, общие страницы аналитического описания и страницу систематизации.</w:t>
      </w:r>
    </w:p>
    <w:bookmarkEnd w:id="22"/>
    <w:bookmarkStart w:id="23" w:name="журналы-и-номера"/>
    <w:p>
      <w:pPr>
        <w:pStyle w:val="Heading4"/>
      </w:pPr>
      <w:r>
        <w:t xml:space="preserve">5. Журналы и номера</w:t>
      </w:r>
    </w:p>
    <w:p>
      <w:pPr>
        <w:pStyle w:val="FirstParagraph"/>
      </w:pPr>
      <w:r>
        <w:t xml:space="preserve">РЛ</w:t>
      </w:r>
      <w:r>
        <w:t xml:space="preserve"> </w:t>
      </w:r>
      <w:r>
        <w:rPr>
          <w:rStyle w:val="VerbatimChar"/>
        </w:rPr>
        <w:t xml:space="preserve">OJ51</w:t>
      </w:r>
      <w:r>
        <w:t xml:space="preserve"> </w:t>
      </w:r>
      <w:r>
        <w:t xml:space="preserve">с кодом</w:t>
      </w:r>
      <w:r>
        <w:t xml:space="preserve"> </w:t>
      </w:r>
      <w:r>
        <w:rPr>
          <w:rStyle w:val="VerbatimChar"/>
        </w:rPr>
        <w:t xml:space="preserve">J</w:t>
      </w:r>
      <w:r>
        <w:t xml:space="preserve"> </w:t>
      </w:r>
      <w:r>
        <w:t xml:space="preserve">используется для ввода сводного описания журнала или другого сериального издания. В него вводятся библиографические данные издания, физические характеристики, систематизация, регистрация поступлений, кумулированные сведения и технологические данные.</w:t>
      </w:r>
    </w:p>
    <w:p>
      <w:pPr>
        <w:pStyle w:val="BodyText"/>
      </w:pPr>
      <w:r>
        <w:t xml:space="preserve">При регистрации поступлений или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Она отличается порядком страниц: первой открывается страница</w:t>
      </w:r>
      <w:r>
        <w:t xml:space="preserve"> </w:t>
      </w:r>
      <w:r>
        <w:rPr>
          <w:rStyle w:val="VerbatimChar"/>
        </w:rPr>
        <w:t xml:space="preserve">Регистрация</w:t>
      </w:r>
      <w:r>
        <w:t xml:space="preserve">. Этот рабочий лист не выбирается как новый РЛ вручную, потому что предназначен для корректировки уже существующего журнального описания.</w:t>
      </w:r>
    </w:p>
    <w:p>
      <w:pPr>
        <w:pStyle w:val="BodyText"/>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журнала, который создаётся автоматически при регистрации поступления. Основной технологический сценарий для такого документа - ввод оглавления номера.</w:t>
      </w:r>
    </w:p>
    <w:p>
      <w:pPr>
        <w:pStyle w:val="BodyText"/>
      </w:pPr>
      <w:r>
        <w:t xml:space="preserve">Коды</w:t>
      </w:r>
      <w:r>
        <w:t xml:space="preserve"> </w:t>
      </w:r>
      <w:r>
        <w:rPr>
          <w:rStyle w:val="VerbatimChar"/>
        </w:rPr>
        <w:t xml:space="preserve">NJK</w:t>
      </w:r>
      <w:r>
        <w:t xml:space="preserve"> </w:t>
      </w:r>
      <w:r>
        <w:t xml:space="preserve">и</w:t>
      </w:r>
      <w:r>
        <w:t xml:space="preserve"> </w:t>
      </w:r>
      <w:r>
        <w:rPr>
          <w:rStyle w:val="VerbatimChar"/>
        </w:rPr>
        <w:t xml:space="preserve">NJP</w:t>
      </w:r>
      <w:r>
        <w:t xml:space="preserve"> </w:t>
      </w:r>
      <w:r>
        <w:t xml:space="preserve">используются для подшивок и номеров, вошедших в подшивку. Эти коды формируются технологически и не предназначены для ручного выбора при создании нового документа.</w:t>
      </w:r>
    </w:p>
    <w:bookmarkEnd w:id="23"/>
    <w:bookmarkStart w:id="24" w:name="упрощённое-и-музейное-описание"/>
    <w:p>
      <w:pPr>
        <w:pStyle w:val="Heading4"/>
      </w:pPr>
      <w:r>
        <w:t xml:space="preserve">6. Упрощённое и музейное описание</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Он не предполагает полного анализа издания по традиционной методике и не содержит проверки на дублетность по элементам библиографического описания. При этом сохраняется контроль обязательных полей и контроль дублетности шифра издания.</w:t>
      </w:r>
    </w:p>
    <w:p>
      <w:pPr>
        <w:pStyle w:val="BodyText"/>
      </w:pPr>
      <w:r>
        <w:t xml:space="preserve">РЛ</w:t>
      </w:r>
      <w:r>
        <w:t xml:space="preserve"> </w:t>
      </w:r>
      <w:r>
        <w:rPr>
          <w:rStyle w:val="VerbatimChar"/>
        </w:rPr>
        <w:t xml:space="preserve">MUSP</w:t>
      </w:r>
      <w:r>
        <w:t xml:space="preserve"> </w:t>
      </w:r>
      <w:r>
        <w:t xml:space="preserve">используется для описания музейного предмета. Его структура близка к</w:t>
      </w:r>
      <w:r>
        <w:t xml:space="preserve"> </w:t>
      </w:r>
      <w:r>
        <w:rPr>
          <w:rStyle w:val="VerbatimChar"/>
        </w:rPr>
        <w:t xml:space="preserve">SPEC</w:t>
      </w:r>
      <w:r>
        <w:t xml:space="preserve">, но названия и состав полей адаптированы к музейному описанию: предмет, комплект, музейные характеристики, паспортные сведения, экземпляры и технологические данные.</w:t>
      </w:r>
    </w:p>
    <w:bookmarkEnd w:id="24"/>
    <w:bookmarkStart w:id="25" w:name="проверка-актуальности"/>
    <w:p>
      <w:pPr>
        <w:pStyle w:val="Heading4"/>
      </w:pPr>
      <w:r>
        <w:t xml:space="preserve">7. Проверка актуальности</w:t>
      </w:r>
    </w:p>
    <w:p>
      <w:pPr>
        <w:pStyle w:val="FirstParagraph"/>
      </w:pPr>
      <w:r>
        <w:t xml:space="preserve">Список рабочих листов зависит от поставки базы данных и локальных настроек организации. Перед использованием этого раздела как нормативного перечня нужно сверить коды РЛ, состав страниц и доступность вариантов в текущем меню рабочих листов.</w:t>
      </w:r>
    </w:p>
    <w:bookmarkEnd w:id="25"/>
    <w:bookmarkEnd w:id="26"/>
    <w:bookmarkStart w:id="35" w:name="общие-правила-заполнения-рабочих-листов"/>
    <w:p>
      <w:pPr>
        <w:pStyle w:val="Heading3"/>
      </w:pPr>
      <w:r>
        <w:t xml:space="preserve">Общие правила заполнения рабочих листов</w:t>
      </w:r>
    </w:p>
    <w:p>
      <w:pPr>
        <w:pStyle w:val="FirstParagraph"/>
      </w:pPr>
      <w:r>
        <w:t xml:space="preserve">Общий порядок определения элементов библиографического описания и их представления в полях и подполях рабочих листов приближен к традиционной технологии составления библиографической записи на каталожной карточке.</w:t>
      </w:r>
    </w:p>
    <w:p>
      <w:pPr>
        <w:pStyle w:val="BodyText"/>
      </w:pPr>
      <w:r>
        <w:t xml:space="preserve">Эта страница описывает общие правила. Специфические рекомендации по отдельным полям и страницам РЛ переносятся в отдельные разделы методики.</w:t>
      </w:r>
    </w:p>
    <w:bookmarkStart w:id="27" w:name="пунктуация-и-разделители"/>
    <w:p>
      <w:pPr>
        <w:pStyle w:val="Heading4"/>
      </w:pPr>
      <w:r>
        <w:t xml:space="preserve">1. Пунктуация и разделители</w:t>
      </w:r>
    </w:p>
    <w:p>
      <w:pPr>
        <w:pStyle w:val="FirstParagraph"/>
      </w:pPr>
      <w:r>
        <w:t xml:space="preserve">При вводе элементов данных не нужно вручную ставить знаки препинания, которые в библиографическом описании отделяют области и элементы перед вводимым элементом. Эти знаки формируются форматами вывода и правилами представления записи.</w:t>
      </w:r>
    </w:p>
    <w:p>
      <w:pPr>
        <w:pStyle w:val="BodyText"/>
      </w:pPr>
      <w:r>
        <w:t xml:space="preserve">После знаков препинания, которые вводятся внутри значения, нужно ставить пробел. Это важно для корректного отображения записи в просмотре и выходных документах.</w:t>
      </w:r>
    </w:p>
    <w:p>
      <w:pPr>
        <w:pStyle w:val="BodyText"/>
      </w:pPr>
      <w:r>
        <w:t xml:space="preserve">Поля сложной структуры заполняются через вложенные рабочие листы. Если для поля предусмотрены расширенные средства ввода, открывайте их кнопкой с тремя точками или клавишей</w:t>
      </w:r>
      <w:r>
        <w:t xml:space="preserve"> </w:t>
      </w:r>
      <w:r>
        <w:rPr>
          <w:rStyle w:val="VerbatimChar"/>
        </w:rPr>
        <w:t xml:space="preserve">F2</w:t>
      </w:r>
      <w:r>
        <w:t xml:space="preserve">.</w:t>
      </w:r>
    </w:p>
    <w:p>
      <w:pPr>
        <w:pStyle w:val="BodyText"/>
      </w:pPr>
      <w:r>
        <w:t xml:space="preserve">Во вложенном РЛ данные сохраняются в основном поле как подполя с разделителями вида</w:t>
      </w:r>
      <w:r>
        <w:t xml:space="preserve"> </w:t>
      </w:r>
      <w:r>
        <w:rPr>
          <w:rStyle w:val="VerbatimChar"/>
        </w:rPr>
        <w:t xml:space="preserve">^a</w:t>
      </w:r>
      <w:r>
        <w:t xml:space="preserve">,</w:t>
      </w:r>
      <w:r>
        <w:t xml:space="preserve"> </w:t>
      </w:r>
      <w:r>
        <w:rPr>
          <w:rStyle w:val="VerbatimChar"/>
        </w:rPr>
        <w:t xml:space="preserve">^b</w:t>
      </w:r>
      <w:r>
        <w:t xml:space="preserve"> </w:t>
      </w:r>
      <w:r>
        <w:t xml:space="preserve">и т. п. Эти служебные разделители формируются автоматически при выходе из вложенного РЛ. Ручная корректировка такого поля допустима только при сохранении правильных разделителей подполей.</w:t>
      </w:r>
    </w:p>
    <w:bookmarkEnd w:id="27"/>
    <w:bookmarkStart w:id="28" w:name="повторяющиеся-поля"/>
    <w:p>
      <w:pPr>
        <w:pStyle w:val="Heading4"/>
      </w:pPr>
      <w:r>
        <w:t xml:space="preserve">2. Повторяющиеся поля</w:t>
      </w:r>
    </w:p>
    <w:p>
      <w:pPr>
        <w:pStyle w:val="FirstParagraph"/>
      </w:pPr>
      <w:r>
        <w:t xml:space="preserve">Некоторые данные вводятся в повторяющиеся поля: например, сведения о нескольких экземплярах. В рабочем листе повторяемость обычно обозначается признаком в колонке номера поля.</w:t>
      </w:r>
    </w:p>
    <w:p>
      <w:pPr>
        <w:pStyle w:val="BodyText"/>
      </w:pPr>
      <w:r>
        <w:t xml:space="preserve">Для добавления нового повторения выберите номер того появления поля, после которого нужно вставить новое значение.</w:t>
      </w:r>
    </w:p>
    <w:p>
      <w:pPr>
        <w:pStyle w:val="BodyText"/>
      </w:pPr>
      <w:r>
        <w:t xml:space="preserve">Повторяющиеся поля сложной структуры удобно редактировать в табличном виде. В таком режиме каждое повторение поля отображается строкой, а подполя - столбцами. Табличный режим позволяет быстрее удалять повторения и переносить одинаковые значения по столбцам.</w:t>
      </w:r>
    </w:p>
    <w:bookmarkEnd w:id="28"/>
    <w:bookmarkStart w:id="29" w:name="меню-словари-и-авторитетные-базы"/>
    <w:p>
      <w:pPr>
        <w:pStyle w:val="Heading4"/>
      </w:pPr>
      <w:r>
        <w:t xml:space="preserve">3. Меню, словари и авторитетные базы</w:t>
      </w:r>
    </w:p>
    <w:p>
      <w:pPr>
        <w:pStyle w:val="FirstParagraph"/>
      </w:pPr>
      <w:r>
        <w:t xml:space="preserve">Часть данных вводится с использованием меню, словаря текущей базы электронного каталога или авторитетных баз данных.</w:t>
      </w:r>
    </w:p>
    <w:p>
      <w:pPr>
        <w:pStyle w:val="BodyText"/>
      </w:pPr>
      <w:r>
        <w:t xml:space="preserve">Если для подполя предусмотрено меню или словарь, при установке курсора в это подполе доступны расширенные средства ввода. После выбора значения нажмите</w:t>
      </w:r>
      <w:r>
        <w:t xml:space="preserve"> </w:t>
      </w:r>
      <w:r>
        <w:rPr>
          <w:rStyle w:val="VerbatimChar"/>
        </w:rPr>
        <w:t xml:space="preserve">Ввод</w:t>
      </w:r>
      <w:r>
        <w:t xml:space="preserve"> </w:t>
      </w:r>
      <w:r>
        <w:t xml:space="preserve">или выполните двойной щелчок по нужному значению.</w:t>
      </w:r>
    </w:p>
    <w:p>
      <w:pPr>
        <w:pStyle w:val="BodyText"/>
      </w:pPr>
      <w:r>
        <w:t xml:space="preserve">Меню обычно используются для кодовой информации. В некоторых меню доступен быстрый поиск по ключу, часть меню имеет древовидную структуру.</w:t>
      </w:r>
    </w:p>
    <w:p>
      <w:pPr>
        <w:pStyle w:val="BodyText"/>
      </w:pPr>
      <w:r>
        <w:t xml:space="preserve">Словарь базы электронного каталога используется для выбора уже существующих терминов. В поле</w:t>
      </w:r>
      <w:r>
        <w:t xml:space="preserve"> </w:t>
      </w:r>
      <w:r>
        <w:rPr>
          <w:rStyle w:val="VerbatimChar"/>
        </w:rPr>
        <w:t xml:space="preserve">Ключ</w:t>
      </w:r>
      <w:r>
        <w:t xml:space="preserve"> </w:t>
      </w:r>
      <w:r>
        <w:t xml:space="preserve">можно вводить начальные буквы поискового термина для перехода к нужной части словаря.</w:t>
      </w:r>
    </w:p>
    <w:p>
      <w:pPr>
        <w:pStyle w:val="BodyText"/>
      </w:pPr>
      <w:r>
        <w:t xml:space="preserve">Авторитетные базы используются для нормируемых данных: авторов, коллективов, предметных рубрик и связанных терминов. При переносе данных из авторитетной записи в библиографическую запись может сохраняться номер записи авторитетной базы. Это обеспечивает связь между библиографическим описанием и авторитетной записью.</w:t>
      </w:r>
    </w:p>
    <w:p>
      <w:pPr>
        <w:pStyle w:val="BodyText"/>
      </w:pPr>
      <w:r>
        <w:t xml:space="preserve">ИРБИС предоставляет средства создания, ведения, импорта и использования авторитетных баз, но сами авторитетные базы являются отдельным информационным ресурсом организации.</w:t>
      </w:r>
    </w:p>
    <w:bookmarkEnd w:id="29"/>
    <w:bookmarkStart w:id="30" w:name="мультиввод"/>
    <w:p>
      <w:pPr>
        <w:pStyle w:val="Heading4"/>
      </w:pPr>
      <w:r>
        <w:t xml:space="preserve">4. Мультиввод</w:t>
      </w:r>
    </w:p>
    <w:p>
      <w:pPr>
        <w:pStyle w:val="FirstParagraph"/>
      </w:pPr>
      <w:r>
        <w:t xml:space="preserve">При вводе однотипных данных можно использовать режим мультиввода. Он позволяет за одно обращение к меню, словарю или авторитетной базе выбрать несколько значений и перенести их в рабочий лист.</w:t>
      </w:r>
    </w:p>
    <w:p>
      <w:pPr>
        <w:pStyle w:val="BodyText"/>
      </w:pPr>
      <w:r>
        <w:t xml:space="preserve">Для неповторяющегося поля система может автоматически поставить разделительные знаки между выбранными однотипными значениями.</w:t>
      </w:r>
    </w:p>
    <w:p>
      <w:pPr>
        <w:pStyle w:val="BodyText"/>
      </w:pPr>
      <w:r>
        <w:t xml:space="preserve">Для повторяющихся полей мультиввод удобнее выполнять в табличном режиме: каждое выбранное значение переносится в отдельное повторение поля, которое затем дополняется остальными элементами данных.</w:t>
      </w:r>
    </w:p>
    <w:bookmarkEnd w:id="30"/>
    <w:bookmarkStart w:id="31" w:name="копирование-похожих-записей"/>
    <w:p>
      <w:pPr>
        <w:pStyle w:val="Heading4"/>
      </w:pPr>
      <w:r>
        <w:t xml:space="preserve">5. Копирование похожих записей</w:t>
      </w:r>
    </w:p>
    <w:p>
      <w:pPr>
        <w:pStyle w:val="FirstParagraph"/>
      </w:pPr>
      <w:r>
        <w:t xml:space="preserve">При поступлении второго и последующих томов одного издания можно копировать ранее введённый документ и затем корректировать скопированную запись. Такой подход уменьшает повторный ввод и снижает риск расхождений между связанными описаниями.</w:t>
      </w:r>
    </w:p>
    <w:p>
      <w:pPr>
        <w:pStyle w:val="BodyText"/>
      </w:pPr>
      <w:r>
        <w:t xml:space="preserve">Для практического сценария см.</w:t>
      </w:r>
      <w:r>
        <w:t xml:space="preserve"> </w:t>
      </w:r>
      <w:hyperlink r:id="rId12">
        <w:r>
          <w:rPr>
            <w:rStyle w:val="Hyperlink"/>
          </w:rPr>
          <w:t xml:space="preserve">создание записи на основе выбранной</w:t>
        </w:r>
      </w:hyperlink>
      <w:r>
        <w:t xml:space="preserve">.</w:t>
      </w:r>
    </w:p>
    <w:bookmarkEnd w:id="31"/>
    <w:bookmarkStart w:id="32" w:name="разметка-заглавий"/>
    <w:p>
      <w:pPr>
        <w:pStyle w:val="Heading4"/>
      </w:pPr>
      <w:r>
        <w:t xml:space="preserve">6. Разметка заглавий</w:t>
      </w:r>
    </w:p>
    <w:p>
      <w:pPr>
        <w:pStyle w:val="FirstParagraph"/>
      </w:pPr>
      <w:r>
        <w:t xml:space="preserve">Разметка заглавий используется для корректного формирования авторского знака и сортировки в выходных таблицах.</w:t>
      </w:r>
    </w:p>
    <w:p>
      <w:pPr>
        <w:pStyle w:val="BodyText"/>
      </w:pPr>
      <w:r>
        <w:t xml:space="preserve">Текст в угловых скобках исключается из сортировки, но печатается без символов разметки. Это можно применять, например, для артиклей в заглавиях иностранных изданий.</w:t>
      </w:r>
    </w:p>
    <w:p>
      <w:pPr>
        <w:pStyle w:val="BodyText"/>
      </w:pPr>
      <w:r>
        <w:t xml:space="preserve">Разметка вида</w:t>
      </w:r>
      <w:r>
        <w:t xml:space="preserve"> </w:t>
      </w:r>
      <w:r>
        <w:rPr>
          <w:rStyle w:val="VerbatimChar"/>
        </w:rPr>
        <w:t xml:space="preserve">&lt;исходный текст=текст для сортировки&gt;</w:t>
      </w:r>
      <w:r>
        <w:t xml:space="preserve"> </w:t>
      </w:r>
      <w:r>
        <w:t xml:space="preserve">позволяет задать значение, которое будет использоваться для авторского знака или начального элемента сортировки.</w:t>
      </w:r>
    </w:p>
    <w:p>
      <w:pPr>
        <w:pStyle w:val="BodyText"/>
      </w:pPr>
      <w:r>
        <w:t xml:space="preserve">Примеры: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Исходное заглавие</w:t>
            </w:r>
          </w:p>
        </w:tc>
        <w:tc>
          <w:tcPr/>
          <w:p>
            <w:pPr>
              <w:pStyle w:val="Compact"/>
            </w:pPr>
            <w:r>
              <w:t xml:space="preserve">Разметка</w:t>
            </w:r>
          </w:p>
        </w:tc>
        <w:tc>
          <w:tcPr/>
          <w:p>
            <w:pPr>
              <w:pStyle w:val="Compact"/>
            </w:pPr>
            <w:r>
              <w:t xml:space="preserve">Что используется для сортировки</w:t>
            </w:r>
          </w:p>
        </w:tc>
      </w:tr>
      <w:tr>
        <w:tc>
          <w:tcPr/>
          <w:p>
            <w:pPr>
              <w:pStyle w:val="Compact"/>
            </w:pPr>
            <w:r>
              <w:rPr>
                <w:rStyle w:val="VerbatimChar"/>
              </w:rPr>
              <w:t xml:space="preserve">1000 и одна ночь</w:t>
            </w:r>
          </w:p>
        </w:tc>
        <w:tc>
          <w:tcPr/>
          <w:p>
            <w:pPr>
              <w:pStyle w:val="Compact"/>
            </w:pPr>
            <w:r>
              <w:rPr>
                <w:rStyle w:val="VerbatimChar"/>
              </w:rPr>
              <w:t xml:space="preserve">&lt;1000=тысяча&gt; и одна ночь</w:t>
            </w:r>
          </w:p>
        </w:tc>
        <w:tc>
          <w:tcPr/>
          <w:p>
            <w:pPr>
              <w:pStyle w:val="Compact"/>
            </w:pPr>
            <w:r>
              <w:rPr>
                <w:rStyle w:val="VerbatimChar"/>
              </w:rPr>
              <w:t xml:space="preserve">тысяча и одна ночь</w:t>
            </w:r>
          </w:p>
        </w:tc>
      </w:tr>
      <w:tr>
        <w:tc>
          <w:tcPr/>
          <w:p>
            <w:pPr>
              <w:pStyle w:val="Compact"/>
            </w:pPr>
            <w:r>
              <w:rPr>
                <w:rStyle w:val="VerbatimChar"/>
              </w:rPr>
              <w:t xml:space="preserve">Антон Павлович Чехов</w:t>
            </w:r>
          </w:p>
        </w:tc>
        <w:tc>
          <w:tcPr/>
          <w:p>
            <w:pPr>
              <w:pStyle w:val="Compact"/>
            </w:pPr>
            <w:r>
              <w:rPr>
                <w:rStyle w:val="VerbatimChar"/>
              </w:rPr>
              <w:t xml:space="preserve">&lt;Антон Павлович Чехов=Чехов Антон Павлович&gt;</w:t>
            </w:r>
          </w:p>
        </w:tc>
        <w:tc>
          <w:tcPr/>
          <w:p>
            <w:pPr>
              <w:pStyle w:val="Compact"/>
            </w:pPr>
            <w:r>
              <w:rPr>
                <w:rStyle w:val="VerbatimChar"/>
              </w:rPr>
              <w:t xml:space="preserve">Чехов Антон Павлович</w:t>
            </w:r>
          </w:p>
        </w:tc>
      </w:tr>
    </w:tbl>
    <w:p>
      <w:pPr>
        <w:pStyle w:val="BodyText"/>
      </w:pPr>
      <w:r>
        <w:t xml:space="preserve">Аналогичная разметка может применяться и в других полях, например при вводе разделов и статей в оглавлении.</w:t>
      </w:r>
    </w:p>
    <w:bookmarkEnd w:id="32"/>
    <w:bookmarkStart w:id="33" w:name="сверка-на-дублетность"/>
    <w:p>
      <w:pPr>
        <w:pStyle w:val="Heading4"/>
      </w:pPr>
      <w:r>
        <w:t xml:space="preserve">7. Сверка на дублетность</w:t>
      </w:r>
    </w:p>
    <w:p>
      <w:pPr>
        <w:pStyle w:val="FirstParagraph"/>
      </w:pPr>
      <w:r>
        <w:t xml:space="preserve">Для проверки дублетности система использует набор значимых элементов библиографического описания. Состав этих элементов зависит от вида описания и выбранного рабочего листа.</w:t>
      </w:r>
    </w:p>
    <w:p>
      <w:pPr>
        <w:pStyle w:val="BodyText"/>
      </w:pPr>
      <w:r>
        <w:t xml:space="preserve">В исходной методике описан алгоритм автоматической свёртки текста: из текста выбираются символы слов, начиная с последних слов, пока не будет получена строка сравнения. В современных настройках конкретная реализация сверки должна проверяться по текущим форматам контроля и рабочим листам.</w:t>
      </w:r>
    </w:p>
    <w:p>
      <w:pPr>
        <w:pStyle w:val="BodyText"/>
      </w:pPr>
      <w:r>
        <w:t xml:space="preserve">Обычно в сверку включаются:</w:t>
      </w:r>
    </w:p>
    <w:p>
      <w:pPr>
        <w:pStyle w:val="Compact"/>
        <w:numPr>
          <w:ilvl w:val="0"/>
          <w:numId w:val="1003"/>
        </w:numPr>
      </w:pPr>
      <w:r>
        <w:t xml:space="preserve">две последние цифры года издания;</w:t>
      </w:r>
    </w:p>
    <w:p>
      <w:pPr>
        <w:pStyle w:val="Compact"/>
        <w:numPr>
          <w:ilvl w:val="0"/>
          <w:numId w:val="1003"/>
        </w:numPr>
      </w:pPr>
      <w:r>
        <w:t xml:space="preserve">библиографические элементы, зависящие от вида описания;</w:t>
      </w:r>
    </w:p>
    <w:p>
      <w:pPr>
        <w:pStyle w:val="Compact"/>
        <w:numPr>
          <w:ilvl w:val="0"/>
          <w:numId w:val="1003"/>
        </w:numPr>
      </w:pPr>
      <w:r>
        <w:t xml:space="preserve">объём документа или другая единица измерения;</w:t>
      </w:r>
    </w:p>
    <w:p>
      <w:pPr>
        <w:pStyle w:val="Compact"/>
        <w:numPr>
          <w:ilvl w:val="0"/>
          <w:numId w:val="1003"/>
        </w:numPr>
      </w:pPr>
      <w:r>
        <w:t xml:space="preserve">дополнительные идентификаторы, например ISBN или идентификационный номер нетекстового материала.</w:t>
      </w:r>
    </w:p>
    <w:p>
      <w:pPr>
        <w:pStyle w:val="FirstParagraph"/>
      </w:pPr>
      <w:r>
        <w:t xml:space="preserve">Если система обнаруживает дублетную запись, новая запись не должна сохраняться как самостоятельная. Нужно найти существующий документ и корректировать его по результатам поиска или по известному MFN.</w:t>
      </w:r>
    </w:p>
    <w:p>
      <w:pPr>
        <w:pStyle w:val="BodyText"/>
      </w:pPr>
      <w:r>
        <w:t xml:space="preserve">Если необходимо ввести другую запись на месте обнаруженной дублетной, измените или удалите значение в поле, на котором сработала проверка, очистите введённые данные и продолжите ввод другой записи.</w:t>
      </w:r>
    </w:p>
    <w:bookmarkEnd w:id="33"/>
    <w:bookmarkStart w:id="34" w:name="сокращения-по-гост"/>
    <w:p>
      <w:pPr>
        <w:pStyle w:val="Heading4"/>
      </w:pPr>
      <w:r>
        <w:t xml:space="preserve">8. Сокращения по ГОСТ</w:t>
      </w:r>
    </w:p>
    <w:p>
      <w:pPr>
        <w:pStyle w:val="FirstParagraph"/>
      </w:pPr>
      <w:r>
        <w:t xml:space="preserve">При вводе сокращений слов на русском языке может использоваться справочник сокращений по ГОСТ 7.12-93. В исходной методике указан файл</w:t>
      </w:r>
      <w:r>
        <w:t xml:space="preserve"> </w:t>
      </w:r>
      <w:r>
        <w:rPr>
          <w:rStyle w:val="VerbatimChar"/>
        </w:rPr>
        <w:t xml:space="preserve">GOS71293.MNU</w:t>
      </w:r>
      <w:r>
        <w:t xml:space="preserve">.</w:t>
      </w:r>
    </w:p>
    <w:p>
      <w:pPr>
        <w:pStyle w:val="BodyText"/>
      </w:pPr>
      <w:r>
        <w:t xml:space="preserve">Перед использованием справочника нужно проверить, что файл присутствует в текущей поставке и подключён к рабочим листам или интерфейсу ввода.</w:t>
      </w:r>
    </w:p>
    <w:bookmarkEnd w:id="34"/>
    <w:bookmarkEnd w:id="35"/>
    <w:bookmarkStart w:id="49" w:name="специфика-заполнения-отдельных-полей"/>
    <w:p>
      <w:pPr>
        <w:pStyle w:val="Heading3"/>
      </w:pPr>
      <w:r>
        <w:t xml:space="preserve">Специфика заполнения отдельных полей</w:t>
      </w:r>
    </w:p>
    <w:p>
      <w:pPr>
        <w:pStyle w:val="FirstParagraph"/>
      </w:pPr>
      <w:r>
        <w:t xml:space="preserve">Этот раздел собирает рекомендации по полям, для которых недостаточно общих правил заполнения рабочего листа. Поля, не описанные здесь отдельно, заполняются по</w:t>
      </w:r>
      <w:r>
        <w:t xml:space="preserve"> </w:t>
      </w:r>
      <w:hyperlink r:id="rId36">
        <w:r>
          <w:rPr>
            <w:rStyle w:val="Hyperlink"/>
          </w:rPr>
          <w:t xml:space="preserve">общим правилам</w:t>
        </w:r>
      </w:hyperlink>
      <w:r>
        <w:t xml:space="preserve"> </w:t>
      </w:r>
      <w:r>
        <w:t xml:space="preserve">с использованием доступных меню, словарей, авторитетных баз и вложенных рабочих листов.</w:t>
      </w:r>
    </w:p>
    <w:p>
      <w:pPr>
        <w:pStyle w:val="BodyText"/>
      </w:pPr>
      <w:r>
        <w:t xml:space="preserve">Для полей со сложной структурой в исходной методике указывается состав подполей и справочники, которые используются при вводе. При переносе в Help такие сведения нужно сверять с текущими рабочими листами и поставкой базы данных.</w:t>
      </w:r>
    </w:p>
    <w:bookmarkStart w:id="37" w:name="справочники-и-коды"/>
    <w:p>
      <w:pPr>
        <w:pStyle w:val="Heading4"/>
      </w:pPr>
      <w:r>
        <w:t xml:space="preserve">1. Справочники и коды</w:t>
      </w:r>
    </w:p>
    <w:p>
      <w:pPr>
        <w:pStyle w:val="FirstParagraph"/>
      </w:pPr>
      <w:r>
        <w:t xml:space="preserve">Справочники могут корректироваться организацией. При расширении справочников нужно учитывать различие кодов:</w:t>
      </w:r>
    </w:p>
    <w:p>
      <w:pPr>
        <w:pStyle w:val="Compact"/>
        <w:numPr>
          <w:ilvl w:val="0"/>
          <w:numId w:val="1004"/>
        </w:numPr>
      </w:pPr>
      <w:r>
        <w:t xml:space="preserve">буквенные коды обычно соответствуют коммуникативным форматам UNIMARC, USMARC или RUSMARC;</w:t>
      </w:r>
    </w:p>
    <w:p>
      <w:pPr>
        <w:pStyle w:val="Compact"/>
        <w:numPr>
          <w:ilvl w:val="0"/>
          <w:numId w:val="1004"/>
        </w:numPr>
      </w:pPr>
      <w:r>
        <w:t xml:space="preserve">цифровые коды являются дополнительными кодами ИРБИС и при экспорте в MARC-форматы могут интерпретироваться как</w:t>
      </w:r>
      <w:r>
        <w:t xml:space="preserve"> </w:t>
      </w:r>
      <w:r>
        <w:t xml:space="preserve">“прочие”</w:t>
      </w:r>
      <w:r>
        <w:t xml:space="preserve">;</w:t>
      </w:r>
    </w:p>
    <w:p>
      <w:pPr>
        <w:pStyle w:val="Compact"/>
        <w:numPr>
          <w:ilvl w:val="0"/>
          <w:numId w:val="1004"/>
        </w:numPr>
      </w:pPr>
      <w:r>
        <w:t xml:space="preserve">буквенно-цифровые коды используются для детализации стандартного буквенного кода; при экспорте может использоваться только буквенная часть.</w:t>
      </w:r>
    </w:p>
    <w:p>
      <w:pPr>
        <w:pStyle w:val="FirstParagraph"/>
      </w:pPr>
      <w:r>
        <w:t xml:space="preserve">Технологические элементы данных, относящиеся только к регистрации поступления журналов, описываются в методике обработки журналов и не должны смешиваться с общими правилами заполнения библиографических полей.</w:t>
      </w:r>
    </w:p>
    <w:bookmarkEnd w:id="37"/>
    <w:bookmarkStart w:id="38" w:name="специфические-первые-страницы-рл"/>
    <w:p>
      <w:pPr>
        <w:pStyle w:val="Heading4"/>
      </w:pPr>
      <w:r>
        <w:t xml:space="preserve">2. Специфические первые страницы РЛ</w:t>
      </w:r>
    </w:p>
    <w:p>
      <w:pPr>
        <w:pStyle w:val="FirstParagraph"/>
      </w:pPr>
      <w:r>
        <w:t xml:space="preserve">Специфические первые страницы рабочих листов содержат элементы данных, которые зависят от вида описания и участвуют в сверке на дублетность.</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Код РЛ</w:t>
            </w:r>
          </w:p>
        </w:tc>
        <w:tc>
          <w:tcPr/>
          <w:p>
            <w:pPr>
              <w:pStyle w:val="Compact"/>
            </w:pPr>
            <w:r>
              <w:t xml:space="preserve">Специфическая страница</w:t>
            </w:r>
          </w:p>
        </w:tc>
        <w:tc>
          <w:tcPr/>
          <w:p>
            <w:pPr>
              <w:pStyle w:val="Compact"/>
            </w:pPr>
            <w:r>
              <w:t xml:space="preserve">Назначение</w:t>
            </w:r>
          </w:p>
        </w:tc>
      </w:tr>
      <w:tr>
        <w:tc>
          <w:tcPr/>
          <w:p>
            <w:pPr>
              <w:pStyle w:val="Compact"/>
            </w:pPr>
            <w:r>
              <w:rPr>
                <w:rStyle w:val="VerbatimChar"/>
              </w:rPr>
              <w:t xml:space="preserve">PAZK</w:t>
            </w:r>
            <w:r>
              <w:t xml:space="preserve">,</w:t>
            </w:r>
            <w:r>
              <w:t xml:space="preserve"> </w:t>
            </w:r>
            <w:r>
              <w:rPr>
                <w:rStyle w:val="VerbatimChar"/>
              </w:rPr>
              <w:t xml:space="preserve">PVK</w:t>
            </w:r>
          </w:p>
        </w:tc>
        <w:tc>
          <w:tcPr/>
          <w:p>
            <w:pPr>
              <w:pStyle w:val="Compact"/>
            </w:pPr>
            <w:r>
              <w:rPr>
                <w:rStyle w:val="VerbatimChar"/>
              </w:rPr>
              <w:t xml:space="preserve">Дублетность</w:t>
            </w:r>
          </w:p>
        </w:tc>
        <w:tc>
          <w:tcPr/>
          <w:p>
            <w:pPr>
              <w:pStyle w:val="Compact"/>
            </w:pPr>
            <w:r>
              <w:t xml:space="preserve">Заголовок библиографического описания и другие данные сверки на дублетность</w:t>
            </w:r>
          </w:p>
        </w:tc>
      </w:tr>
      <w:tr>
        <w:tc>
          <w:tcPr/>
          <w:p>
            <w:pPr>
              <w:pStyle w:val="Compact"/>
            </w:pPr>
            <w:r>
              <w:rPr>
                <w:rStyle w:val="VerbatimChar"/>
              </w:rPr>
              <w:t xml:space="preserve">SPEC</w:t>
            </w:r>
          </w:p>
        </w:tc>
        <w:tc>
          <w:tcPr/>
          <w:p>
            <w:pPr>
              <w:pStyle w:val="Compact"/>
            </w:pPr>
            <w:r>
              <w:rPr>
                <w:rStyle w:val="VerbatimChar"/>
              </w:rPr>
              <w:t xml:space="preserve">МН - общ.</w:t>
            </w:r>
          </w:p>
        </w:tc>
        <w:tc>
          <w:tcPr/>
          <w:p>
            <w:pPr>
              <w:pStyle w:val="Compact"/>
            </w:pPr>
            <w:r>
              <w:t xml:space="preserve">Данные общей части многотомного издания</w:t>
            </w:r>
          </w:p>
        </w:tc>
      </w:tr>
      <w:tr>
        <w:tc>
          <w:tcPr/>
          <w:p>
            <w:pPr>
              <w:pStyle w:val="Compact"/>
            </w:pPr>
            <w:r>
              <w:rPr>
                <w:rStyle w:val="VerbatimChar"/>
              </w:rPr>
              <w:t xml:space="preserve">ASP</w:t>
            </w:r>
          </w:p>
        </w:tc>
        <w:tc>
          <w:tcPr/>
          <w:p>
            <w:pPr>
              <w:pStyle w:val="Compact"/>
            </w:pPr>
            <w:r>
              <w:rPr>
                <w:rStyle w:val="VerbatimChar"/>
              </w:rPr>
              <w:t xml:space="preserve">Дублетность</w:t>
            </w:r>
            <w:r>
              <w:t xml:space="preserve">,</w:t>
            </w:r>
            <w:r>
              <w:t xml:space="preserve"> </w:t>
            </w:r>
            <w:r>
              <w:rPr>
                <w:rStyle w:val="VerbatimChar"/>
              </w:rPr>
              <w:t xml:space="preserve">Рецензия/Реферат</w:t>
            </w:r>
          </w:p>
        </w:tc>
        <w:tc>
          <w:tcPr/>
          <w:p>
            <w:pPr>
              <w:pStyle w:val="Compact"/>
            </w:pPr>
            <w:r>
              <w:t xml:space="preserve">Сведения об источнике, данные сверки на дублетность и данные рецензии или реферата</w:t>
            </w:r>
          </w:p>
        </w:tc>
      </w:tr>
      <w:tr>
        <w:tc>
          <w:tcPr/>
          <w:p>
            <w:pPr>
              <w:pStyle w:val="Compact"/>
            </w:pPr>
            <w:r>
              <w:rPr>
                <w:rStyle w:val="VerbatimChar"/>
              </w:rPr>
              <w:t xml:space="preserve">AUNTD</w:t>
            </w:r>
          </w:p>
        </w:tc>
        <w:tc>
          <w:tcPr/>
          <w:p>
            <w:pPr>
              <w:pStyle w:val="Compact"/>
            </w:pPr>
            <w:r>
              <w:rPr>
                <w:rStyle w:val="VerbatimChar"/>
              </w:rPr>
              <w:t xml:space="preserve">Дублетность</w:t>
            </w:r>
          </w:p>
        </w:tc>
        <w:tc>
          <w:tcPr/>
          <w:p>
            <w:pPr>
              <w:pStyle w:val="Compact"/>
            </w:pPr>
            <w:r>
              <w:t xml:space="preserve">Сведения об источнике и данные сверки на дублетность для юридических и нормативно-технических документов</w:t>
            </w:r>
          </w:p>
        </w:tc>
      </w:tr>
    </w:tbl>
    <w:p>
      <w:pPr>
        <w:pStyle w:val="BodyText"/>
      </w:pPr>
      <w:r>
        <w:t xml:space="preserve">На первой странице также находится поле</w:t>
      </w:r>
      <w:r>
        <w:t xml:space="preserve"> </w:t>
      </w:r>
      <w:r>
        <w:rPr>
          <w:rStyle w:val="VerbatimChar"/>
        </w:rPr>
        <w:t xml:space="preserve">920</w:t>
      </w:r>
      <w:r>
        <w:t xml:space="preserve"> </w:t>
      </w:r>
      <w:r>
        <w:t xml:space="preserve">- код рабочего листа. Код определяет вид описания и используется системой для выбора формата просмотра и рабочего листа при корректировке записи.</w:t>
      </w:r>
    </w:p>
    <w:p>
      <w:pPr>
        <w:pStyle w:val="BodyText"/>
      </w:pPr>
      <w:r>
        <w:t xml:space="preserve">Если рабочий лист выбран ошибочно, нужно:</w:t>
      </w:r>
    </w:p>
    <w:p>
      <w:pPr>
        <w:pStyle w:val="Compact"/>
        <w:numPr>
          <w:ilvl w:val="0"/>
          <w:numId w:val="1005"/>
        </w:numPr>
      </w:pPr>
      <w:r>
        <w:t xml:space="preserve">Выбрать правильный РЛ в списке рабочих листов.</w:t>
      </w:r>
    </w:p>
    <w:p>
      <w:pPr>
        <w:pStyle w:val="Compact"/>
        <w:numPr>
          <w:ilvl w:val="0"/>
          <w:numId w:val="1005"/>
        </w:numPr>
      </w:pPr>
      <w:r>
        <w:t xml:space="preserve">Откорректировать поле</w:t>
      </w:r>
      <w:r>
        <w:t xml:space="preserve"> </w:t>
      </w:r>
      <w:r>
        <w:rPr>
          <w:rStyle w:val="VerbatimChar"/>
        </w:rPr>
        <w:t xml:space="preserve">920</w:t>
      </w:r>
      <w:r>
        <w:t xml:space="preserve"> </w:t>
      </w:r>
      <w:r>
        <w:t xml:space="preserve">на первой странице.</w:t>
      </w:r>
    </w:p>
    <w:p>
      <w:pPr>
        <w:pStyle w:val="Compact"/>
        <w:numPr>
          <w:ilvl w:val="0"/>
          <w:numId w:val="1005"/>
        </w:numPr>
      </w:pPr>
      <w:r>
        <w:t xml:space="preserve">Удалить данные, которые были введены ранее и не соответствуют новому РЛ.</w:t>
      </w:r>
    </w:p>
    <w:bookmarkEnd w:id="38"/>
    <w:bookmarkStart w:id="39" w:name="рл-pazk-страница-дублетность"/>
    <w:p>
      <w:pPr>
        <w:pStyle w:val="Heading4"/>
      </w:pPr>
      <w:r>
        <w:t xml:space="preserve">3. РЛ PAZK: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PAZK</w:t>
      </w:r>
      <w:r>
        <w:t xml:space="preserve"> </w:t>
      </w:r>
      <w:r>
        <w:t xml:space="preserve">используется для описания под автором, под коллективом или под заглавием. На странице</w:t>
      </w:r>
      <w:r>
        <w:t xml:space="preserve"> </w:t>
      </w:r>
      <w:r>
        <w:rPr>
          <w:rStyle w:val="VerbatimChar"/>
        </w:rPr>
        <w:t xml:space="preserve">Дублетность</w:t>
      </w:r>
      <w:r>
        <w:t xml:space="preserve"> </w:t>
      </w:r>
      <w:r>
        <w:t xml:space="preserve">располагаются поля, которые участвуют в сверке на дублетность, и поля, специфичные для этого вида описания.</w:t>
      </w:r>
    </w:p>
    <w:p>
      <w:pPr>
        <w:pStyle w:val="BodyText"/>
      </w:pPr>
      <w:r>
        <w:t xml:space="preserve">Сверка выполняется по совокупности кратких данных:</w:t>
      </w:r>
    </w:p>
    <w:p>
      <w:pPr>
        <w:pStyle w:val="Compact"/>
        <w:numPr>
          <w:ilvl w:val="0"/>
          <w:numId w:val="1006"/>
        </w:numPr>
      </w:pPr>
      <w:r>
        <w:t xml:space="preserve">две последние цифры года издания;</w:t>
      </w:r>
    </w:p>
    <w:p>
      <w:pPr>
        <w:pStyle w:val="Compact"/>
        <w:numPr>
          <w:ilvl w:val="0"/>
          <w:numId w:val="1006"/>
        </w:numPr>
      </w:pPr>
      <w:r>
        <w:t xml:space="preserve">первые символы фамилии автора-заголовка описания;</w:t>
      </w:r>
    </w:p>
    <w:p>
      <w:pPr>
        <w:pStyle w:val="Compact"/>
        <w:numPr>
          <w:ilvl w:val="0"/>
          <w:numId w:val="1006"/>
        </w:numPr>
      </w:pPr>
      <w:r>
        <w:t xml:space="preserve">автоматическая свёртка заглавия;</w:t>
      </w:r>
    </w:p>
    <w:p>
      <w:pPr>
        <w:pStyle w:val="Compact"/>
        <w:numPr>
          <w:ilvl w:val="0"/>
          <w:numId w:val="1006"/>
        </w:numPr>
      </w:pPr>
      <w:r>
        <w:t xml:space="preserve">номера выпусков и частей;</w:t>
      </w:r>
    </w:p>
    <w:p>
      <w:pPr>
        <w:pStyle w:val="Compact"/>
        <w:numPr>
          <w:ilvl w:val="0"/>
          <w:numId w:val="1006"/>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700</w:t>
            </w:r>
          </w:p>
        </w:tc>
        <w:tc>
          <w:tcPr/>
          <w:p>
            <w:pPr>
              <w:pStyle w:val="Compact"/>
            </w:pPr>
            <w:r>
              <w:t xml:space="preserve">Первый автор - заголовок описания. Заполняется, если авторов не больше трёх. Для первичной сверки достаточно ФИО и раскрытия инициалов; остальные данные можно уточнить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710</w:t>
            </w:r>
          </w:p>
        </w:tc>
        <w:tc>
          <w:tcPr/>
          <w:p>
            <w:pPr>
              <w:pStyle w:val="Compact"/>
            </w:pPr>
            <w:r>
              <w:t xml:space="preserve">Первый коллективный автор. При вводе через словарь или авторитетную базу данные заполняются полностью. При ручном вводе для сверки достаточно наименования; остальные данные можно ввести после проверки дублетности.</w:t>
            </w:r>
          </w:p>
        </w:tc>
      </w:tr>
      <w:tr>
        <w:tc>
          <w:tcPr/>
          <w:p>
            <w:pPr>
              <w:pStyle w:val="Compact"/>
            </w:pPr>
            <w:r>
              <w:rPr>
                <w:rStyle w:val="VerbatimChar"/>
              </w:rPr>
              <w:t xml:space="preserve">971</w:t>
            </w:r>
          </w:p>
        </w:tc>
        <w:tc>
          <w:tcPr/>
          <w:p>
            <w:pPr>
              <w:pStyle w:val="Compact"/>
            </w:pPr>
            <w:r>
              <w:t xml:space="preserve">Первый временный коллективный автор, если он входит в заголовок вместе с коллективом. Поле не участвует в сверке на дублетность, поэтому может уточняться после проверки.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 остальные данные целесообразно вводить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 остальные выходные данные вводятся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должны быть введены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если единица измерения отличается от значения по умолчанию, её также нужно указать.</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PAZK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PAZK</w:t>
            </w:r>
            <w:r>
              <w:t xml:space="preserve"> </w:t>
            </w:r>
            <w:r>
              <w:t xml:space="preserve">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Данные коллективного автора могут автоматически включаться в сведения об ответственности. Если коллектив не должен попадать в сведения об ответственности или должен формировать добавочную каталожную карточку, это задаётся соответствующей ролью в поле.</w:t>
      </w:r>
    </w:p>
    <w:p>
      <w:pPr>
        <w:pStyle w:val="BodyText"/>
      </w:pPr>
      <w:r>
        <w:t xml:space="preserve">Коллективные авторы включаются в словарь коллективов, а слова из наименования - в словарь ключевых слов. Если заглавие подразделения должно индексироваться самостоятельно, нужно установить признак характерного заглавия подразделения.</w:t>
      </w:r>
    </w:p>
    <w:bookmarkEnd w:id="39"/>
    <w:bookmarkStart w:id="40" w:name="рл-pvk-страница-дублетность"/>
    <w:p>
      <w:pPr>
        <w:pStyle w:val="Heading4"/>
      </w:pPr>
      <w:r>
        <w:t xml:space="preserve">4. РЛ PVK: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PVK</w:t>
      </w:r>
      <w:r>
        <w:t xml:space="preserve"> </w:t>
      </w:r>
      <w:r>
        <w:t xml:space="preserve">используется для описания под временным коллективным автором: конференцией, симпозиумом, выставкой и другим временным коллективом.</w:t>
      </w:r>
    </w:p>
    <w:p>
      <w:pPr>
        <w:pStyle w:val="BodyText"/>
      </w:pPr>
      <w:r>
        <w:t xml:space="preserve">Сверка на дублетность выполняется по совокупности данных:</w:t>
      </w:r>
    </w:p>
    <w:p>
      <w:pPr>
        <w:pStyle w:val="Compact"/>
        <w:numPr>
          <w:ilvl w:val="0"/>
          <w:numId w:val="1007"/>
        </w:numPr>
      </w:pPr>
      <w:r>
        <w:t xml:space="preserve">две последние цифры года издания;</w:t>
      </w:r>
    </w:p>
    <w:p>
      <w:pPr>
        <w:pStyle w:val="Compact"/>
        <w:numPr>
          <w:ilvl w:val="0"/>
          <w:numId w:val="1007"/>
        </w:numPr>
      </w:pPr>
      <w:r>
        <w:t xml:space="preserve">свёртка наименования временного коллектива и заглавия;</w:t>
      </w:r>
    </w:p>
    <w:p>
      <w:pPr>
        <w:pStyle w:val="Compact"/>
        <w:numPr>
          <w:ilvl w:val="0"/>
          <w:numId w:val="1007"/>
        </w:numPr>
      </w:pPr>
      <w:r>
        <w:t xml:space="preserve">цифровая часть номеров томов, изданных в одной печатной единице;</w:t>
      </w:r>
    </w:p>
    <w:p>
      <w:pPr>
        <w:pStyle w:val="Compact"/>
        <w:numPr>
          <w:ilvl w:val="0"/>
          <w:numId w:val="1007"/>
        </w:numPr>
      </w:pPr>
      <w:r>
        <w:t xml:space="preserve">номера выпусков и частей;</w:t>
      </w:r>
    </w:p>
    <w:p>
      <w:pPr>
        <w:pStyle w:val="Compact"/>
        <w:numPr>
          <w:ilvl w:val="0"/>
          <w:numId w:val="1007"/>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710</w:t>
            </w:r>
          </w:p>
        </w:tc>
        <w:tc>
          <w:tcPr/>
          <w:p>
            <w:pPr>
              <w:pStyle w:val="Compact"/>
            </w:pPr>
            <w:r>
              <w:t xml:space="preserve">Первый временный коллективный автор - заголовок описания. При ручном вводе для сверки достаточно наименования; остальные сведения можно уточнить после проверки дублетности.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вводятся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и, при необходимости, единица измерения.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PVK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Для временного коллектива дата указывается как год. Города проведения и роли выбираются через меню; несколько городов могут вводиться за одно обращение к меню. Перед элементами данных разделительные знаки вручную не ставятся.</w:t>
      </w:r>
    </w:p>
    <w:p>
      <w:pPr>
        <w:pStyle w:val="BodyText"/>
      </w:pPr>
      <w:r>
        <w:t xml:space="preserve">Временный коллектив включается в словарь коллективов, а отдельные слова из наименования - в словарь ключевых слов. Сокращённое или полное наименование может автоматически попадать в сведения об ответственности; необходимость такого включения задаётся ролью.</w:t>
      </w:r>
    </w:p>
    <w:bookmarkEnd w:id="40"/>
    <w:bookmarkStart w:id="41" w:name="рл-spec-страница-мн---общие-данные"/>
    <w:p>
      <w:pPr>
        <w:pStyle w:val="Heading4"/>
      </w:pPr>
      <w:r>
        <w:t xml:space="preserve">5. РЛ SPEC: страница</w:t>
      </w:r>
      <w:r>
        <w:t xml:space="preserve"> </w:t>
      </w:r>
      <w:r>
        <w:rPr>
          <w:rStyle w:val="VerbatimChar"/>
        </w:rPr>
        <w:t xml:space="preserve">МН - общие данные</w:t>
      </w:r>
    </w:p>
    <w:p>
      <w:pPr>
        <w:pStyle w:val="FirstParagraph"/>
      </w:pPr>
      <w:r>
        <w:t xml:space="preserve">РЛ</w:t>
      </w:r>
      <w:r>
        <w:t xml:space="preserve"> </w:t>
      </w:r>
      <w:r>
        <w:rPr>
          <w:rStyle w:val="VerbatimChar"/>
        </w:rPr>
        <w:t xml:space="preserve">SPEC</w:t>
      </w:r>
      <w:r>
        <w:t xml:space="preserve"> </w:t>
      </w:r>
      <w:r>
        <w:t xml:space="preserve">используется для сводного описания тома многотомного издания. В отличие от</w:t>
      </w:r>
      <w:r>
        <w:t xml:space="preserve"> </w:t>
      </w:r>
      <w:r>
        <w:rPr>
          <w:rStyle w:val="VerbatimChar"/>
        </w:rPr>
        <w:t xml:space="preserve">PAZK</w:t>
      </w:r>
      <w:r>
        <w:t xml:space="preserve"> </w:t>
      </w:r>
      <w:r>
        <w:t xml:space="preserve">и</w:t>
      </w:r>
      <w:r>
        <w:t xml:space="preserve"> </w:t>
      </w:r>
      <w:r>
        <w:rPr>
          <w:rStyle w:val="VerbatimChar"/>
        </w:rPr>
        <w:t xml:space="preserve">PVK</w:t>
      </w:r>
      <w:r>
        <w:t xml:space="preserve">, отдельная страница дублетности здесь не используется: сверка выполняется при вводе объёма конкретного тома на странице</w:t>
      </w:r>
      <w:r>
        <w:t xml:space="preserve"> </w:t>
      </w:r>
      <w:r>
        <w:rPr>
          <w:rStyle w:val="VerbatimChar"/>
        </w:rPr>
        <w:t xml:space="preserve">Основное БО</w:t>
      </w:r>
      <w:r>
        <w:t xml:space="preserve">.</w:t>
      </w:r>
    </w:p>
    <w:p>
      <w:pPr>
        <w:pStyle w:val="BodyText"/>
      </w:pPr>
      <w:r>
        <w:t xml:space="preserve">На первой странице</w:t>
      </w:r>
      <w:r>
        <w:t xml:space="preserve"> </w:t>
      </w:r>
      <w:r>
        <w:rPr>
          <w:rStyle w:val="VerbatimChar"/>
        </w:rPr>
        <w:t xml:space="preserve">МН - общие данные</w:t>
      </w:r>
      <w:r>
        <w:t xml:space="preserve"> </w:t>
      </w:r>
      <w:r>
        <w:t xml:space="preserve">располагаются данные общей части многотомного издания и поля, которые участвуют в последующей сверке.</w:t>
      </w:r>
    </w:p>
    <w:p>
      <w:pPr>
        <w:pStyle w:val="BodyText"/>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961</w:t>
            </w:r>
          </w:p>
        </w:tc>
        <w:tc>
          <w:tcPr/>
          <w:p>
            <w:pPr>
              <w:pStyle w:val="Compact"/>
            </w:pPr>
            <w:r>
              <w:t xml:space="preserve">Авторы, редакторы и другие лица, относящиеся к многотомному изданию в целом. Если авторов не больше трёх, один из них может быть отмечен как заголовок описания.</w:t>
            </w:r>
          </w:p>
        </w:tc>
      </w:tr>
      <w:tr>
        <w:tc>
          <w:tcPr/>
          <w:p>
            <w:pPr>
              <w:pStyle w:val="Compact"/>
            </w:pPr>
            <w:r>
              <w:rPr>
                <w:rStyle w:val="VerbatimChar"/>
              </w:rPr>
              <w:t xml:space="preserve">962</w:t>
            </w:r>
          </w:p>
        </w:tc>
        <w:tc>
          <w:tcPr/>
          <w:p>
            <w:pPr>
              <w:pStyle w:val="Compact"/>
            </w:pPr>
            <w:r>
              <w:t xml:space="preserve">Коллективные и временные коллективные авторы общей части. Поле используется для коллективов, относящихся ко всему многотомному изданию или к документу-источнику статьи.</w:t>
            </w:r>
          </w:p>
        </w:tc>
      </w:tr>
      <w:tr>
        <w:tc>
          <w:tcPr/>
          <w:p>
            <w:pPr>
              <w:pStyle w:val="Compact"/>
            </w:pPr>
            <w:r>
              <w:rPr>
                <w:rStyle w:val="VerbatimChar"/>
              </w:rPr>
              <w:t xml:space="preserve">461</w:t>
            </w:r>
          </w:p>
        </w:tc>
        <w:tc>
          <w:tcPr/>
          <w:p>
            <w:pPr>
              <w:pStyle w:val="Compact"/>
            </w:pPr>
            <w:r>
              <w:t xml:space="preserve">Основные данные общей части сводного описания тома: заглавие, сведения к заглавию, сведения об ответственности, выходные данные, размер, тираж, ISBN/ISSN, сведения об издании, перевод заглавия и заголовок описания.</w:t>
            </w:r>
          </w:p>
        </w:tc>
      </w:tr>
      <w:tr>
        <w:tc>
          <w:tcPr/>
          <w:p>
            <w:pPr>
              <w:pStyle w:val="Compact"/>
            </w:pPr>
            <w:r>
              <w:rPr>
                <w:rStyle w:val="VerbatimChar"/>
              </w:rPr>
              <w:t xml:space="preserve">46</w:t>
            </w:r>
          </w:p>
        </w:tc>
        <w:tc>
          <w:tcPr/>
          <w:p>
            <w:pPr>
              <w:pStyle w:val="Compact"/>
            </w:pPr>
            <w:r>
              <w:t xml:space="preserve">Дополнительные данные общей части: общее обозначение материала, разночтения заглавия, серия, параллельные заглавия, примечания, предыдущее издание и другие связанные сведения.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SPEC</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SPEC</w:t>
            </w:r>
            <w:r>
              <w:t xml:space="preserve"> </w:t>
            </w:r>
            <w:r>
              <w:t xml:space="preserve">указан вид</w:t>
            </w:r>
            <w:r>
              <w:t xml:space="preserve"> </w:t>
            </w:r>
            <w:r>
              <w:rPr>
                <w:rStyle w:val="VerbatimChar"/>
              </w:rPr>
              <w:t xml:space="preserve">03</w:t>
            </w:r>
            <w:r>
              <w:t xml:space="preserve">; актуальность значения нужно сверять с текущими настройками.</w:t>
            </w:r>
          </w:p>
        </w:tc>
      </w:tr>
    </w:tbl>
    <w:p>
      <w:pPr>
        <w:pStyle w:val="BodyText"/>
      </w:pPr>
      <w:r>
        <w:t xml:space="preserve">Поля</w:t>
      </w:r>
      <w:r>
        <w:t xml:space="preserve"> </w:t>
      </w:r>
      <w:r>
        <w:rPr>
          <w:rStyle w:val="VerbatimChar"/>
        </w:rPr>
        <w:t xml:space="preserve">961</w:t>
      </w:r>
      <w:r>
        <w:t xml:space="preserve"> </w:t>
      </w:r>
      <w:r>
        <w:t xml:space="preserve">и</w:t>
      </w:r>
      <w:r>
        <w:t xml:space="preserve"> </w:t>
      </w:r>
      <w:r>
        <w:rPr>
          <w:rStyle w:val="VerbatimChar"/>
        </w:rPr>
        <w:t xml:space="preserve">962</w:t>
      </w:r>
      <w:r>
        <w:t xml:space="preserve"> </w:t>
      </w:r>
      <w:r>
        <w:t xml:space="preserve">могут вводиться с использованием словаря базы электронного каталога и авторитетных баз. В режиме мультиввода можно перенести несколько имён или коллективов за одно обращение к словарю.</w:t>
      </w:r>
    </w:p>
    <w:p>
      <w:pPr>
        <w:pStyle w:val="BodyText"/>
      </w:pPr>
      <w:r>
        <w:t xml:space="preserve">Если в</w:t>
      </w:r>
      <w:r>
        <w:t xml:space="preserve"> </w:t>
      </w:r>
      <w:r>
        <w:rPr>
          <w:rStyle w:val="VerbatimChar"/>
        </w:rPr>
        <w:t xml:space="preserve">961</w:t>
      </w:r>
      <w:r>
        <w:t xml:space="preserve"> </w:t>
      </w:r>
      <w:r>
        <w:t xml:space="preserve">или</w:t>
      </w:r>
      <w:r>
        <w:t xml:space="preserve"> </w:t>
      </w:r>
      <w:r>
        <w:rPr>
          <w:rStyle w:val="VerbatimChar"/>
        </w:rPr>
        <w:t xml:space="preserve">962</w:t>
      </w:r>
      <w:r>
        <w:t xml:space="preserve"> </w:t>
      </w:r>
      <w:r>
        <w:t xml:space="preserve">установлен признак заголовка описания, заголовок сводного описания тома может формироваться автоматически. Данные лиц и коллективов также могут автоматически включаться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является обязательным для сводного описания тома. Оно описывает общую часть многотомного издания, а данные конкретного тома затем уточняются на других страницах рабочего листа.</w:t>
      </w:r>
    </w:p>
    <w:p>
      <w:pPr>
        <w:pStyle w:val="BodyText"/>
      </w:pPr>
      <w:r>
        <w:t xml:space="preserve">Если сведения, относящиеся к заглавию, не заполнены вручную, система может сформировать их автоматически на основе кода характера документа и справочника соответствий. Если такая автоматизация не нужна, её нужно отключить в настройке или очистить соответствующий справочник.</w:t>
      </w:r>
    </w:p>
    <w:p>
      <w:pPr>
        <w:pStyle w:val="BodyText"/>
      </w:pPr>
      <w:r>
        <w:t xml:space="preserve">Если сведения об ответственности не заполнены, они могут формироваться из введённых авторов, редакторов, коллективов и временных коллективов. При формировании учитываются инверсия ФИО, язык основного текста, количество авторов и признак необходимости включать коллектив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может повторяться для нескольких издательств. При нескольких издательствах можно управлять выводом городов и признаком вывода только первого издательства с пометой</w:t>
      </w:r>
      <w:r>
        <w:t xml:space="preserve"> </w:t>
      </w:r>
      <w:r>
        <w:t xml:space="preserve">“и др.”</w:t>
      </w:r>
      <w:r>
        <w:t xml:space="preserve">. Каждое издательство желательно вводить полно, чтобы словарь издательств оставался пригодным для поиска и повторного ввода.</w:t>
      </w:r>
    </w:p>
    <w:p>
      <w:pPr>
        <w:pStyle w:val="BodyText"/>
      </w:pPr>
      <w:r>
        <w:t xml:space="preserve">Поле</w:t>
      </w:r>
      <w:r>
        <w:t xml:space="preserve"> </w:t>
      </w:r>
      <w:r>
        <w:rPr>
          <w:rStyle w:val="VerbatimChar"/>
        </w:rPr>
        <w:t xml:space="preserve">46</w:t>
      </w:r>
      <w:r>
        <w:t xml:space="preserve"> </w:t>
      </w:r>
      <w:r>
        <w:t xml:space="preserve">используется для серий, параллельных заглавий, примечаний, предыдущих изданий и разночтений заглавия. Оно может повторяться, если нужно описать несколько связанных серий, несколько параллельных заглавий или несколько предыдущих изданий.</w:t>
      </w:r>
    </w:p>
    <w:bookmarkEnd w:id="41"/>
    <w:bookmarkStart w:id="42" w:name="Xdd415b45c5e0f9c3cc731f03284c7ec55bc6015"/>
    <w:p>
      <w:pPr>
        <w:pStyle w:val="Heading4"/>
      </w:pPr>
      <w:r>
        <w:t xml:space="preserve">6. РЛ ASP: страницы</w:t>
      </w:r>
      <w:r>
        <w:t xml:space="preserve"> </w:t>
      </w:r>
      <w:r>
        <w:rPr>
          <w:rStyle w:val="VerbatimChar"/>
        </w:rPr>
        <w:t xml:space="preserve">Дублетность</w:t>
      </w:r>
      <w:r>
        <w:t xml:space="preserve"> </w:t>
      </w:r>
      <w:r>
        <w:t xml:space="preserve">и</w:t>
      </w:r>
      <w:r>
        <w:t xml:space="preserve"> </w:t>
      </w:r>
      <w:r>
        <w:rPr>
          <w:rStyle w:val="VerbatimChar"/>
        </w:rPr>
        <w:t xml:space="preserve">Рецензия/Реферат</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Первая страница содержит данные, которые участвуют в сверке на дублетность, а также сведения об источнике статьи.</w:t>
      </w:r>
    </w:p>
    <w:p>
      <w:pPr>
        <w:pStyle w:val="BodyText"/>
      </w:pPr>
      <w:r>
        <w:t xml:space="preserve">На странице</w:t>
      </w:r>
      <w:r>
        <w:t xml:space="preserve"> </w:t>
      </w:r>
      <w:r>
        <w:rPr>
          <w:rStyle w:val="VerbatimChar"/>
        </w:rPr>
        <w:t xml:space="preserve">Дублетность</w:t>
      </w:r>
      <w:r>
        <w:t xml:space="preserve"> </w:t>
      </w:r>
      <w:r>
        <w:t xml:space="preserve">для</w:t>
      </w:r>
      <w:r>
        <w:t xml:space="preserve"> </w:t>
      </w:r>
      <w:r>
        <w:rPr>
          <w:rStyle w:val="VerbatimChar"/>
        </w:rPr>
        <w:t xml:space="preserve">ASP</w:t>
      </w:r>
      <w:r>
        <w:t xml:space="preserve"> </w:t>
      </w:r>
      <w:r>
        <w:t xml:space="preserve">важны:</w:t>
      </w:r>
    </w:p>
    <w:p>
      <w:pPr>
        <w:pStyle w:val="Compact"/>
        <w:numPr>
          <w:ilvl w:val="0"/>
          <w:numId w:val="1008"/>
        </w:numPr>
      </w:pPr>
      <w:r>
        <w:t xml:space="preserve">автор или коллективный автор статьи;</w:t>
      </w:r>
    </w:p>
    <w:p>
      <w:pPr>
        <w:pStyle w:val="Compact"/>
        <w:numPr>
          <w:ilvl w:val="0"/>
          <w:numId w:val="1008"/>
        </w:numPr>
      </w:pPr>
      <w:r>
        <w:t xml:space="preserve">заглавие статьи;</w:t>
      </w:r>
    </w:p>
    <w:p>
      <w:pPr>
        <w:pStyle w:val="Compact"/>
        <w:numPr>
          <w:ilvl w:val="0"/>
          <w:numId w:val="1008"/>
        </w:numPr>
      </w:pPr>
      <w:r>
        <w:t xml:space="preserve">сведения об источнике, в котором опубликована статья;</w:t>
      </w:r>
    </w:p>
    <w:p>
      <w:pPr>
        <w:pStyle w:val="Compact"/>
        <w:numPr>
          <w:ilvl w:val="0"/>
          <w:numId w:val="1008"/>
        </w:numPr>
      </w:pPr>
      <w:r>
        <w:t xml:space="preserve">год издания;</w:t>
      </w:r>
    </w:p>
    <w:p>
      <w:pPr>
        <w:pStyle w:val="Compact"/>
        <w:numPr>
          <w:ilvl w:val="0"/>
          <w:numId w:val="1008"/>
        </w:numPr>
      </w:pPr>
      <w:r>
        <w:t xml:space="preserve">местоположение статьи в источнике;</w:t>
      </w:r>
    </w:p>
    <w:p>
      <w:pPr>
        <w:pStyle w:val="Compact"/>
        <w:numPr>
          <w:ilvl w:val="0"/>
          <w:numId w:val="1008"/>
        </w:numPr>
      </w:pPr>
      <w:r>
        <w:t xml:space="preserve">код рабочего листа</w:t>
      </w:r>
      <w:r>
        <w:t xml:space="preserve"> </w:t>
      </w:r>
      <w:r>
        <w:rPr>
          <w:rStyle w:val="VerbatimChar"/>
        </w:rPr>
        <w:t xml:space="preserve">ASP</w:t>
      </w:r>
      <w:r>
        <w:t xml:space="preserve">;</w:t>
      </w:r>
    </w:p>
    <w:p>
      <w:pPr>
        <w:pStyle w:val="Compact"/>
        <w:numPr>
          <w:ilvl w:val="0"/>
          <w:numId w:val="1008"/>
        </w:numPr>
      </w:pPr>
      <w:r>
        <w:t xml:space="preserve">вид документа, который в исходной методике задан как статья из журнала.</w:t>
      </w:r>
    </w:p>
    <w:p>
      <w:pPr>
        <w:pStyle w:val="FirstParagraph"/>
      </w:pPr>
      <w:r>
        <w:t xml:space="preserve">Поле источника статьи содержит данные о заглавии источника, выходных данных, местоположении, номере статьи, иллюстрациях, обозначении тома или выпуска, частном заглавии и шифре документа в базе данных.</w:t>
      </w:r>
    </w:p>
    <w:p>
      <w:pPr>
        <w:pStyle w:val="BodyText"/>
      </w:pPr>
      <w:r>
        <w:t xml:space="preserve">В записях</w:t>
      </w:r>
      <w:r>
        <w:t xml:space="preserve"> </w:t>
      </w:r>
      <w:r>
        <w:rPr>
          <w:rStyle w:val="VerbatimChar"/>
        </w:rPr>
        <w:t xml:space="preserve">ASP</w:t>
      </w:r>
      <w:r>
        <w:t xml:space="preserve"> </w:t>
      </w:r>
      <w:r>
        <w:t xml:space="preserve">поля экземпляров обычно не вводятся. Описание статьи связано с документом-источником, а доступ к экземплярам определяется через источник.</w:t>
      </w:r>
    </w:p>
    <w:p>
      <w:pPr>
        <w:pStyle w:val="BodyText"/>
      </w:pPr>
      <w:r>
        <w:t xml:space="preserve">Страница</w:t>
      </w:r>
      <w:r>
        <w:t xml:space="preserve"> </w:t>
      </w:r>
      <w:r>
        <w:rPr>
          <w:rStyle w:val="VerbatimChar"/>
        </w:rPr>
        <w:t xml:space="preserve">Рецензия/Реферат</w:t>
      </w:r>
      <w:r>
        <w:t xml:space="preserve"> </w:t>
      </w:r>
      <w:r>
        <w:t xml:space="preserve">используется, если аналитическое описание является рецензией или рефератом. В ней указываются признак рецензии или реферата, заглавие рецензируемого документа, автор, сведения к заглавию, выходные данные, ISBN, идентификатор нетекстового материала, вид документа, шифр и имя базы данных.</w:t>
      </w:r>
    </w:p>
    <w:bookmarkEnd w:id="42"/>
    <w:bookmarkStart w:id="43" w:name="рл-auntd-страница-дублетность"/>
    <w:p>
      <w:pPr>
        <w:pStyle w:val="Heading4"/>
      </w:pPr>
      <w:r>
        <w:t xml:space="preserve">7. РЛ AUNTD: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w:t>
      </w:r>
    </w:p>
    <w:p>
      <w:pPr>
        <w:pStyle w:val="BodyText"/>
      </w:pPr>
      <w:r>
        <w:t xml:space="preserve">По назначению первая страница близка к</w:t>
      </w:r>
      <w:r>
        <w:t xml:space="preserve"> </w:t>
      </w:r>
      <w:r>
        <w:rPr>
          <w:rStyle w:val="VerbatimChar"/>
        </w:rPr>
        <w:t xml:space="preserve">ASP</w:t>
      </w:r>
      <w:r>
        <w:t xml:space="preserve">: она содержит сведения об источнике и данные, необходимые для сверки на дублетность. Основное отличие состоит в составе специфических полей, ориентированных на юридический или нормативно-технический документ.</w:t>
      </w:r>
    </w:p>
    <w:p>
      <w:pPr>
        <w:pStyle w:val="BodyText"/>
      </w:pPr>
      <w:r>
        <w:t xml:space="preserve">При переносе подробных правил</w:t>
      </w:r>
      <w:r>
        <w:t xml:space="preserve"> </w:t>
      </w:r>
      <w:r>
        <w:rPr>
          <w:rStyle w:val="VerbatimChar"/>
        </w:rPr>
        <w:t xml:space="preserve">AUNTD</w:t>
      </w:r>
      <w:r>
        <w:t xml:space="preserve"> </w:t>
      </w:r>
      <w:r>
        <w:t xml:space="preserve">нужно сверять текущий состав рабочего листа и справочников, потому что этот тип описания сильнее зависит от локальной методики организации и набора используемых нормативных документов.</w:t>
      </w:r>
    </w:p>
    <w:bookmarkEnd w:id="43"/>
    <w:bookmarkStart w:id="44" w:name="X8eb790bbbca797e60c33088516d4422afbf9071"/>
    <w:p>
      <w:pPr>
        <w:pStyle w:val="Heading4"/>
      </w:pPr>
      <w:r>
        <w:t xml:space="preserve">8. РЛ J: ввод и корректировка описаний журналов</w:t>
      </w:r>
    </w:p>
    <w:p>
      <w:pPr>
        <w:pStyle w:val="FirstParagraph"/>
      </w:pPr>
      <w:r>
        <w:t xml:space="preserve">РЛ</w:t>
      </w:r>
      <w:r>
        <w:t xml:space="preserve"> </w:t>
      </w:r>
      <w:r>
        <w:rPr>
          <w:rStyle w:val="VerbatimChar"/>
        </w:rPr>
        <w:t xml:space="preserve">OJ51</w:t>
      </w:r>
      <w:r>
        <w:t xml:space="preserve"> </w:t>
      </w:r>
      <w:r>
        <w:t xml:space="preserve">и</w:t>
      </w:r>
      <w:r>
        <w:t xml:space="preserve"> </w:t>
      </w:r>
      <w:r>
        <w:rPr>
          <w:rStyle w:val="VerbatimChar"/>
        </w:rPr>
        <w:t xml:space="preserve">!RPJ51</w:t>
      </w:r>
      <w:r>
        <w:t xml:space="preserve"> </w:t>
      </w:r>
      <w:r>
        <w:t xml:space="preserve">с кодом</w:t>
      </w:r>
      <w:r>
        <w:t xml:space="preserve"> </w:t>
      </w:r>
      <w:r>
        <w:rPr>
          <w:rStyle w:val="VerbatimChar"/>
        </w:rPr>
        <w:t xml:space="preserve">J</w:t>
      </w:r>
      <w:r>
        <w:t xml:space="preserve"> </w:t>
      </w:r>
      <w:r>
        <w:t xml:space="preserve">используются для сводного описания журнала, газеты или другого сериального издания. В сводное описание по мере работы добавляются сведения об отдельных выпусках; сведения о первом поступлении могут вводиться одновременно с библиографическим описанием.</w:t>
      </w:r>
    </w:p>
    <w:p>
      <w:pPr>
        <w:pStyle w:val="BodyText"/>
      </w:pPr>
      <w:r>
        <w:t xml:space="preserve">РЛ</w:t>
      </w:r>
      <w:r>
        <w:t xml:space="preserve"> </w:t>
      </w:r>
      <w:r>
        <w:rPr>
          <w:rStyle w:val="VerbatimChar"/>
        </w:rPr>
        <w:t xml:space="preserve">OJ51</w:t>
      </w:r>
      <w:r>
        <w:t xml:space="preserve"> </w:t>
      </w:r>
      <w:r>
        <w:t xml:space="preserve">включает восемь страниц:</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Основное БО</w:t>
            </w:r>
          </w:p>
        </w:tc>
        <w:tc>
          <w:tcPr/>
          <w:p>
            <w:pPr>
              <w:pStyle w:val="Compact"/>
            </w:pPr>
            <w:r>
              <w:t xml:space="preserve">Заглавие, сведения об ответственности, выходные данные, серия, подсерия и раздел подсерии</w:t>
            </w:r>
          </w:p>
        </w:tc>
      </w:tr>
      <w:tr>
        <w:tc>
          <w:tcPr/>
          <w:p>
            <w:pPr>
              <w:pStyle w:val="Compact"/>
            </w:pPr>
            <w:r>
              <w:rPr>
                <w:rStyle w:val="VerbatimChar"/>
              </w:rPr>
              <w:t xml:space="preserve">Коды</w:t>
            </w:r>
          </w:p>
        </w:tc>
        <w:tc>
          <w:tcPr/>
          <w:p>
            <w:pPr>
              <w:pStyle w:val="Compact"/>
            </w:pPr>
            <w:r>
              <w:t xml:space="preserve">Кодированная информация, ISSN, шифр документа в БД</w:t>
            </w:r>
          </w:p>
        </w:tc>
      </w:tr>
      <w:tr>
        <w:tc>
          <w:tcPr/>
          <w:p>
            <w:pPr>
              <w:pStyle w:val="Compact"/>
            </w:pPr>
            <w:r>
              <w:rPr>
                <w:rStyle w:val="VerbatimChar"/>
              </w:rPr>
              <w:t xml:space="preserve">Расширенное. Изменения</w:t>
            </w:r>
          </w:p>
        </w:tc>
        <w:tc>
          <w:tcPr/>
          <w:p>
            <w:pPr>
              <w:pStyle w:val="Compact"/>
            </w:pPr>
            <w:r>
              <w:t xml:space="preserve">Коллективы, редактор, примечания, другие заглавия, связи с другими изданиями, сведения о предыдущих и последующих изданиях, внешние объекты</w:t>
            </w:r>
          </w:p>
        </w:tc>
      </w:tr>
      <w:tr>
        <w:tc>
          <w:tcPr/>
          <w:p>
            <w:pPr>
              <w:pStyle w:val="Compact"/>
            </w:pPr>
            <w:r>
              <w:rPr>
                <w:rStyle w:val="VerbatimChar"/>
              </w:rPr>
              <w:t xml:space="preserve">Физические характеристики</w:t>
            </w:r>
          </w:p>
        </w:tc>
        <w:tc>
          <w:tcPr/>
          <w:p>
            <w:pPr>
              <w:pStyle w:val="Compact"/>
            </w:pPr>
            <w:r>
              <w:t xml:space="preserve">Физические характеристики издания и отдельных номеров, сведения о приложениях</w:t>
            </w:r>
          </w:p>
        </w:tc>
      </w:tr>
      <w:tr>
        <w:tc>
          <w:tcPr/>
          <w:p>
            <w:pPr>
              <w:pStyle w:val="Compact"/>
            </w:pPr>
            <w:r>
              <w:rPr>
                <w:rStyle w:val="VerbatimChar"/>
              </w:rPr>
              <w:t xml:space="preserve">Систематизация</w:t>
            </w:r>
          </w:p>
        </w:tc>
        <w:tc>
          <w:tcPr/>
          <w:p>
            <w:pPr>
              <w:pStyle w:val="Compact"/>
            </w:pPr>
            <w:r>
              <w:t xml:space="preserve">Классификационные индексы, рубрики, ключевые слова, персоналии, аннотация, авторский знак и расстановочный шифр</w:t>
            </w:r>
          </w:p>
        </w:tc>
      </w:tr>
      <w:tr>
        <w:tc>
          <w:tcPr/>
          <w:p>
            <w:pPr>
              <w:pStyle w:val="Compact"/>
            </w:pPr>
            <w:r>
              <w:rPr>
                <w:rStyle w:val="VerbatimChar"/>
              </w:rPr>
              <w:t xml:space="preserve">Регистрация</w:t>
            </w:r>
          </w:p>
        </w:tc>
        <w:tc>
          <w:tcPr/>
          <w:p>
            <w:pPr>
              <w:pStyle w:val="Compact"/>
            </w:pPr>
            <w:r>
              <w:t xml:space="preserve">Поступивший выпуск или подшивка: год, том, номер, дополнение, электронный ресурс, технологический путь, экземпляры, номера подшивки, оглавление выпуска</w:t>
            </w:r>
          </w:p>
        </w:tc>
      </w:tr>
      <w:tr>
        <w:tc>
          <w:tcPr/>
          <w:p>
            <w:pPr>
              <w:pStyle w:val="Compact"/>
            </w:pPr>
            <w:r>
              <w:rPr>
                <w:rStyle w:val="VerbatimChar"/>
              </w:rPr>
              <w:t xml:space="preserve">Кумуляция</w:t>
            </w:r>
          </w:p>
        </w:tc>
        <w:tc>
          <w:tcPr/>
          <w:p>
            <w:pPr>
              <w:pStyle w:val="Compact"/>
            </w:pPr>
            <w:r>
              <w:t xml:space="preserve">Автоматически формируемые кумулированные сведения о зарегистрированных поступлениях</w:t>
            </w:r>
          </w:p>
        </w:tc>
      </w:tr>
      <w:tr>
        <w:tc>
          <w:tcPr/>
          <w:p>
            <w:pPr>
              <w:pStyle w:val="Compact"/>
            </w:pPr>
            <w:r>
              <w:rPr>
                <w:rStyle w:val="VerbatimChar"/>
              </w:rPr>
              <w:t xml:space="preserve">Технология</w:t>
            </w:r>
          </w:p>
        </w:tc>
        <w:tc>
          <w:tcPr/>
          <w:p>
            <w:pPr>
              <w:pStyle w:val="Compact"/>
            </w:pPr>
            <w:r>
              <w:t xml:space="preserve">Даты и исполнители ввода, управляющие коды, архивные данные экземпляров, держатель документа, количество выдач и сведения о заказанных экземплярах</w:t>
            </w:r>
          </w:p>
        </w:tc>
      </w:tr>
    </w:tbl>
    <w:p>
      <w:pPr>
        <w:pStyle w:val="BodyText"/>
      </w:pPr>
      <w:r>
        <w:t xml:space="preserve">При регистрации поступлений или другой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Её отличие от</w:t>
      </w:r>
      <w:r>
        <w:t xml:space="preserve"> </w:t>
      </w:r>
      <w:r>
        <w:rPr>
          <w:rStyle w:val="VerbatimChar"/>
        </w:rPr>
        <w:t xml:space="preserve">OJ51</w:t>
      </w:r>
      <w:r>
        <w:t xml:space="preserve"> </w:t>
      </w:r>
      <w:r>
        <w:t xml:space="preserve">состоит в порядке страниц: первой открывается страница</w:t>
      </w:r>
      <w:r>
        <w:t xml:space="preserve"> </w:t>
      </w:r>
      <w:r>
        <w:rPr>
          <w:rStyle w:val="VerbatimChar"/>
        </w:rPr>
        <w:t xml:space="preserve">Регистрация</w:t>
      </w:r>
      <w:r>
        <w:t xml:space="preserve">.</w:t>
      </w:r>
    </w:p>
    <w:p>
      <w:pPr>
        <w:pStyle w:val="BodyText"/>
      </w:pPr>
      <w:r>
        <w:rPr>
          <w:rStyle w:val="VerbatimChar"/>
        </w:rPr>
        <w:t xml:space="preserve">!RPJ51</w:t>
      </w:r>
      <w:r>
        <w:t xml:space="preserve"> </w:t>
      </w:r>
      <w:r>
        <w:t xml:space="preserve">не предназначен для ручного выбора при создании нового документа: он используется как технологический вариант корректировки существующего журнального описания.</w:t>
      </w:r>
    </w:p>
    <w:bookmarkEnd w:id="44"/>
    <w:bookmarkStart w:id="45" w:name="X8350356cc535ec1920bd18dd4bb7288e541ae4d"/>
    <w:p>
      <w:pPr>
        <w:pStyle w:val="Heading4"/>
      </w:pPr>
      <w:r>
        <w:t xml:space="preserve">9. РЛ NJ, NJK и NJP: номера и подшивки журналов</w:t>
      </w:r>
    </w:p>
    <w:p>
      <w:pPr>
        <w:pStyle w:val="FirstParagraph"/>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или выпуска журнала, который создаётся автоматически при регистрации поступления.</w:t>
      </w:r>
    </w:p>
    <w:p>
      <w:pPr>
        <w:pStyle w:val="BodyText"/>
      </w:pPr>
      <w:r>
        <w:t xml:space="preserve">Основная задача корректировки номера - ввод оглавления, если оно не было заполнено при регистрации.</w:t>
      </w:r>
    </w:p>
    <w:p>
      <w:pPr>
        <w:pStyle w:val="BodyText"/>
      </w:pPr>
      <w:r>
        <w:t xml:space="preserve">В РЛ номера используются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Регистрационные данные номера</w:t>
            </w:r>
          </w:p>
        </w:tc>
        <w:tc>
          <w:tcPr/>
          <w:p>
            <w:pPr>
              <w:pStyle w:val="Compact"/>
            </w:pPr>
            <w:r>
              <w:t xml:space="preserve">Шифры описания журнала и выпуска, год, том, номер, дополнение, сведения о кумулированных номерах, экземпляры и технологический путь</w:t>
            </w:r>
          </w:p>
        </w:tc>
      </w:tr>
      <w:tr>
        <w:tc>
          <w:tcPr/>
          <w:p>
            <w:pPr>
              <w:pStyle w:val="Compact"/>
            </w:pPr>
            <w:r>
              <w:rPr>
                <w:rStyle w:val="VerbatimChar"/>
              </w:rPr>
              <w:t xml:space="preserve">Оглавление</w:t>
            </w:r>
          </w:p>
        </w:tc>
        <w:tc>
          <w:tcPr/>
          <w:p>
            <w:pPr>
              <w:pStyle w:val="Compact"/>
            </w:pPr>
            <w:r>
              <w:t xml:space="preserve">Сведения о статьях, опубликованных в номере</w:t>
            </w:r>
          </w:p>
        </w:tc>
      </w:tr>
      <w:tr>
        <w:tc>
          <w:tcPr/>
          <w:p>
            <w:pPr>
              <w:pStyle w:val="Compact"/>
            </w:pPr>
            <w:r>
              <w:rPr>
                <w:rStyle w:val="VerbatimChar"/>
              </w:rPr>
              <w:t xml:space="preserve">Приложения на вкладках</w:t>
            </w:r>
          </w:p>
        </w:tc>
        <w:tc>
          <w:tcPr/>
          <w:p>
            <w:pPr>
              <w:pStyle w:val="Compact"/>
            </w:pPr>
            <w:r>
              <w:t xml:space="preserve">Сведения о ненумерованных страницах и дополнительных материалах</w:t>
            </w:r>
          </w:p>
        </w:tc>
      </w:tr>
      <w:tr>
        <w:tc>
          <w:tcPr/>
          <w:p>
            <w:pPr>
              <w:pStyle w:val="Compact"/>
            </w:pPr>
            <w:r>
              <w:rPr>
                <w:rStyle w:val="VerbatimChar"/>
              </w:rPr>
              <w:t xml:space="preserve">Технология</w:t>
            </w:r>
          </w:p>
        </w:tc>
        <w:tc>
          <w:tcPr/>
          <w:p>
            <w:pPr>
              <w:pStyle w:val="Compact"/>
            </w:pPr>
            <w:r>
              <w:t xml:space="preserve">Даты и исполнители, управляющие коды, архивные данные экземпляров, держатель документа, количество выдач, количественные характеристики, сведения о внешних объектах</w:t>
            </w:r>
          </w:p>
        </w:tc>
      </w:tr>
    </w:tbl>
    <w:p>
      <w:pPr>
        <w:pStyle w:val="BodyText"/>
      </w:pPr>
      <w:r>
        <w:t xml:space="preserve">Код</w:t>
      </w:r>
      <w:r>
        <w:t xml:space="preserve"> </w:t>
      </w:r>
      <w:r>
        <w:rPr>
          <w:rStyle w:val="VerbatimChar"/>
        </w:rPr>
        <w:t xml:space="preserve">NJK</w:t>
      </w:r>
      <w:r>
        <w:t xml:space="preserve"> </w:t>
      </w:r>
      <w:r>
        <w:t xml:space="preserve">используется для описания подшивки. Код</w:t>
      </w:r>
      <w:r>
        <w:t xml:space="preserve"> </w:t>
      </w:r>
      <w:r>
        <w:rPr>
          <w:rStyle w:val="VerbatimChar"/>
        </w:rPr>
        <w:t xml:space="preserve">NJP</w:t>
      </w:r>
      <w:r>
        <w:t xml:space="preserve"> </w:t>
      </w:r>
      <w:r>
        <w:t xml:space="preserve">используется для номера, вошедшего в подшивку. Эти коды формируются технологически при глобальной корректировке и не выбираются вручную при создании нового документа.</w:t>
      </w:r>
    </w:p>
    <w:bookmarkEnd w:id="45"/>
    <w:bookmarkStart w:id="46" w:name="рл-ibis-упрощённое-описание-книги"/>
    <w:p>
      <w:pPr>
        <w:pStyle w:val="Heading4"/>
      </w:pPr>
      <w:r>
        <w:t xml:space="preserve">10. РЛ IBIS: упрощённое описание книги</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без полного анализа издания по традиционной методике.</w:t>
      </w:r>
    </w:p>
    <w:p>
      <w:pPr>
        <w:pStyle w:val="BodyText"/>
      </w:pPr>
      <w:r>
        <w:t xml:space="preserve">Такой РЛ содержит ограниченный набор страниц и не предполагает:</w:t>
      </w:r>
    </w:p>
    <w:p>
      <w:pPr>
        <w:pStyle w:val="Compact"/>
        <w:numPr>
          <w:ilvl w:val="0"/>
          <w:numId w:val="1009"/>
        </w:numPr>
      </w:pPr>
      <w:r>
        <w:t xml:space="preserve">проверки на дублетность по элементам библиографического описания;</w:t>
      </w:r>
    </w:p>
    <w:p>
      <w:pPr>
        <w:pStyle w:val="Compact"/>
        <w:numPr>
          <w:ilvl w:val="0"/>
          <w:numId w:val="1009"/>
        </w:numPr>
      </w:pPr>
      <w:r>
        <w:t xml:space="preserve">ввода результатов анализа издания для сложных видов описания;</w:t>
      </w:r>
    </w:p>
    <w:p>
      <w:pPr>
        <w:pStyle w:val="Compact"/>
        <w:numPr>
          <w:ilvl w:val="0"/>
          <w:numId w:val="1009"/>
        </w:numPr>
      </w:pPr>
      <w:r>
        <w:t xml:space="preserve">подготовки полного набора каталожных карточек и дополнительных точек доступа.</w:t>
      </w:r>
    </w:p>
    <w:p>
      <w:pPr>
        <w:pStyle w:val="FirstParagraph"/>
      </w:pPr>
      <w:r>
        <w:t xml:space="preserve">При этом сохраняется контроль обязательных полей и контроль дублетности шифра издания.</w:t>
      </w:r>
    </w:p>
    <w:bookmarkEnd w:id="46"/>
    <w:bookmarkStart w:id="48" w:name="дальнейший-перенос"/>
    <w:p>
      <w:pPr>
        <w:pStyle w:val="Heading4"/>
      </w:pPr>
      <w:r>
        <w:t xml:space="preserve">11. Дальнейший перенос</w:t>
      </w:r>
    </w:p>
    <w:p>
      <w:pPr>
        <w:pStyle w:val="FirstParagraph"/>
      </w:pPr>
      <w:r>
        <w:t xml:space="preserve">Общие страницы рабочих листов и поля, применяемые в нескольких видах описаний, описаны в разделе</w:t>
      </w:r>
      <w:r>
        <w:t xml:space="preserve"> </w:t>
      </w:r>
      <w:hyperlink r:id="rId47">
        <w:r>
          <w:rPr>
            <w:rStyle w:val="Hyperlink"/>
          </w:rPr>
          <w:t xml:space="preserve">Общие поля рабочих листов</w:t>
        </w:r>
      </w:hyperlink>
      <w:r>
        <w:t xml:space="preserve">.</w:t>
      </w:r>
    </w:p>
    <w:bookmarkEnd w:id="48"/>
    <w:bookmarkEnd w:id="49"/>
    <w:bookmarkStart w:id="149" w:name="общие-страницы-рабочих-листов"/>
    <w:p>
      <w:pPr>
        <w:pStyle w:val="Heading3"/>
      </w:pPr>
      <w:r>
        <w:t xml:space="preserve">Общие страницы рабочих листов</w:t>
      </w:r>
    </w:p>
    <w:p>
      <w:pPr>
        <w:pStyle w:val="FirstParagraph"/>
      </w:pPr>
      <w:r>
        <w:t xml:space="preserve">Эта страница описывает элементы данных, которые используются в разных рабочих листах. Перенос ведётся по частям: сначала страница</w:t>
      </w:r>
      <w:r>
        <w:t xml:space="preserve"> </w:t>
      </w:r>
      <w:r>
        <w:rPr>
          <w:rStyle w:val="VerbatimChar"/>
        </w:rPr>
        <w:t xml:space="preserve">Коды</w:t>
      </w:r>
      <w:r>
        <w:t xml:space="preserve">, затем основные библиографические области, экземпляры, технология и специализированные страницы.</w:t>
      </w:r>
    </w:p>
    <w:bookmarkStart w:id="50" w:name="X811cc7819e3cae63640d452fe07a76c98218b01"/>
    <w:p>
      <w:pPr>
        <w:pStyle w:val="Heading4"/>
      </w:pPr>
      <w:r>
        <w:t xml:space="preserve">1. Страница</w:t>
      </w:r>
      <w:r>
        <w:t xml:space="preserve"> </w:t>
      </w:r>
      <w:r>
        <w:rPr>
          <w:rStyle w:val="VerbatimChar"/>
        </w:rPr>
        <w:t xml:space="preserve">Коды</w:t>
      </w:r>
      <w:r>
        <w:t xml:space="preserve">: кодированная информация и ISBN/ISSN</w:t>
      </w:r>
    </w:p>
    <w:p>
      <w:pPr>
        <w:pStyle w:val="FirstParagraph"/>
      </w:pPr>
      <w:r>
        <w:t xml:space="preserve">Страница</w:t>
      </w:r>
      <w:r>
        <w:t xml:space="preserve"> </w:t>
      </w:r>
      <w:r>
        <w:rPr>
          <w:rStyle w:val="VerbatimChar"/>
        </w:rPr>
        <w:t xml:space="preserve">Коды</w:t>
      </w:r>
      <w:r>
        <w:t xml:space="preserve"> </w:t>
      </w:r>
      <w:r>
        <w:t xml:space="preserve">содержит кодированную информацию и идентификаторы документа. Эти данные используются не только для хранения записи, но и для автоматического формирования отдельных элементов описания, поиска, статистики и экспорта в коммуникативные форматы.</w:t>
      </w:r>
    </w:p>
    <w:bookmarkEnd w:id="50"/>
    <w:bookmarkStart w:id="51" w:name="поле-900-тип-вид-и-характер-документа"/>
    <w:p>
      <w:pPr>
        <w:pStyle w:val="Heading4"/>
      </w:pPr>
      <w:r>
        <w:t xml:space="preserve">2. Поле 900: тип, вид и характер документа</w:t>
      </w:r>
    </w:p>
    <w:p>
      <w:pPr>
        <w:pStyle w:val="FirstParagraph"/>
      </w:pPr>
      <w:r>
        <w:t xml:space="preserve">Поле</w:t>
      </w:r>
      <w:r>
        <w:t xml:space="preserve"> </w:t>
      </w:r>
      <w:r>
        <w:rPr>
          <w:rStyle w:val="VerbatimChar"/>
        </w:rPr>
        <w:t xml:space="preserve">900</w:t>
      </w:r>
      <w:r>
        <w:t xml:space="preserve"> </w:t>
      </w:r>
      <w:r>
        <w:t xml:space="preserve">содержит:</w:t>
      </w:r>
    </w:p>
    <w:p>
      <w:pPr>
        <w:pStyle w:val="Compact"/>
        <w:numPr>
          <w:ilvl w:val="0"/>
          <w:numId w:val="1010"/>
        </w:numPr>
      </w:pPr>
      <w:r>
        <w:t xml:space="preserve">тип документа;</w:t>
      </w:r>
    </w:p>
    <w:p>
      <w:pPr>
        <w:pStyle w:val="Compact"/>
        <w:numPr>
          <w:ilvl w:val="0"/>
          <w:numId w:val="1010"/>
        </w:numPr>
      </w:pPr>
      <w:r>
        <w:t xml:space="preserve">вид документа;</w:t>
      </w:r>
    </w:p>
    <w:p>
      <w:pPr>
        <w:pStyle w:val="Compact"/>
        <w:numPr>
          <w:ilvl w:val="0"/>
          <w:numId w:val="1010"/>
        </w:numPr>
      </w:pPr>
      <w:r>
        <w:t xml:space="preserve">характер документа;</w:t>
      </w:r>
    </w:p>
    <w:p>
      <w:pPr>
        <w:pStyle w:val="Compact"/>
        <w:numPr>
          <w:ilvl w:val="0"/>
          <w:numId w:val="1010"/>
        </w:numPr>
      </w:pPr>
      <w:r>
        <w:t xml:space="preserve">код целевого назначения.</w:t>
      </w:r>
    </w:p>
    <w:p>
      <w:pPr>
        <w:pStyle w:val="FirstParagraph"/>
      </w:pPr>
      <w:r>
        <w:t xml:space="preserve">Поле обязательно для книг и аналитических описаний. Все значения вводятся через справочники-меню.</w:t>
      </w:r>
    </w:p>
    <w:p>
      <w:pPr>
        <w:pStyle w:val="BodyText"/>
      </w:pPr>
      <w:r>
        <w:t xml:space="preserve">Код типа документа может не заполняться для традиционных печатных материалов, но обязателен для рукописей, нот, аудио- и видеоматериалов, карт и других нетрадиционных типов.</w:t>
      </w:r>
    </w:p>
    <w:p>
      <w:pPr>
        <w:pStyle w:val="BodyText"/>
      </w:pPr>
      <w:r>
        <w:t xml:space="preserve">Код вида документа обязателен. В рабочих листах для книг начальные значения могут быть уже заданы: для</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 однотомное издание, для</w:t>
      </w:r>
      <w:r>
        <w:t xml:space="preserve"> </w:t>
      </w:r>
      <w:r>
        <w:rPr>
          <w:rStyle w:val="VerbatimChar"/>
        </w:rPr>
        <w:t xml:space="preserve">SPEC</w:t>
      </w:r>
      <w:r>
        <w:t xml:space="preserve"> </w:t>
      </w:r>
      <w:r>
        <w:t xml:space="preserve">- многотомное издание. При описании продолжающихся и сериальных изданий значение нужно проверить и при необходимости исправить.</w:t>
      </w:r>
    </w:p>
    <w:p>
      <w:pPr>
        <w:pStyle w:val="BodyText"/>
      </w:pPr>
      <w:r>
        <w:t xml:space="preserve">Код характера документа не является обязательным, но полезен для поиска, статистического анализа и автоматического формирования отдельных элементов описания.</w:t>
      </w:r>
    </w:p>
    <w:p>
      <w:pPr>
        <w:pStyle w:val="BodyText"/>
      </w:pPr>
      <w:r>
        <w:t xml:space="preserve">Коды типа, вида, характера документа и целевого назначения включаются в поисковые словари.</w:t>
      </w:r>
    </w:p>
    <w:p>
      <w:pPr>
        <w:pStyle w:val="BodyText"/>
      </w:pPr>
      <w:r>
        <w:t xml:space="preserve">Страница</w:t>
      </w:r>
      <w:r>
        <w:t xml:space="preserve"> </w:t>
      </w:r>
      <w:r>
        <w:rPr>
          <w:rStyle w:val="VerbatimChar"/>
        </w:rPr>
        <w:t xml:space="preserve">Коды</w:t>
      </w:r>
      <w:r>
        <w:t xml:space="preserve"> </w:t>
      </w:r>
      <w:r>
        <w:t xml:space="preserve">предшествует библиографическим страницам, потому что:</w:t>
      </w:r>
    </w:p>
    <w:p>
      <w:pPr>
        <w:pStyle w:val="Compact"/>
        <w:numPr>
          <w:ilvl w:val="0"/>
          <w:numId w:val="1011"/>
        </w:numPr>
      </w:pPr>
      <w:r>
        <w:t xml:space="preserve">код языка используется при автоматическом формировании констант вида</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11"/>
        </w:numPr>
      </w:pPr>
      <w:r>
        <w:t xml:space="preserve">код типа документа может использоваться для автоматического формирования общего обозначения материала;</w:t>
      </w:r>
    </w:p>
    <w:p>
      <w:pPr>
        <w:pStyle w:val="Compact"/>
        <w:numPr>
          <w:ilvl w:val="0"/>
          <w:numId w:val="1011"/>
        </w:numPr>
      </w:pPr>
      <w:r>
        <w:t xml:space="preserve">код характера документа может использоваться для автоматического формирования сведений, относящихся к заглавию;</w:t>
      </w:r>
    </w:p>
    <w:p>
      <w:pPr>
        <w:pStyle w:val="Compact"/>
        <w:numPr>
          <w:ilvl w:val="0"/>
          <w:numId w:val="1011"/>
        </w:numPr>
      </w:pPr>
      <w:r>
        <w:t xml:space="preserve">отдельные коды характера документа могут управлять выводом цены или констант вроде</w:t>
      </w:r>
      <w:r>
        <w:t xml:space="preserve"> </w:t>
      </w:r>
      <w:r>
        <w:rPr>
          <w:rStyle w:val="VerbatimChar"/>
        </w:rPr>
        <w:t xml:space="preserve">Б. м. : б. и.</w:t>
      </w:r>
      <w:r>
        <w:t xml:space="preserve"> </w:t>
      </w:r>
      <w:r>
        <w:t xml:space="preserve">в форматах просмотра и печати.</w:t>
      </w:r>
    </w:p>
    <w:p>
      <w:pPr>
        <w:pStyle w:val="FirstParagraph"/>
      </w:pPr>
      <w:r>
        <w:t xml:space="preserve">Справочники, связанные с автоматическим формированием таких сведений, должны проверяться и корректироваться организацией по принятой методике описания.</w:t>
      </w:r>
    </w:p>
    <w:p>
      <w:pPr>
        <w:pStyle w:val="BodyText"/>
      </w:pPr>
      <w:r>
        <w:t xml:space="preserve">Если в локальном рабочем листе поле</w:t>
      </w:r>
      <w:r>
        <w:t xml:space="preserve"> </w:t>
      </w:r>
      <w:r>
        <w:rPr>
          <w:rStyle w:val="VerbatimChar"/>
        </w:rPr>
        <w:t xml:space="preserve">900</w:t>
      </w:r>
      <w:r>
        <w:t xml:space="preserve"> </w:t>
      </w:r>
      <w:r>
        <w:t xml:space="preserve">расширено под признаки материалов иностранных агентов, заполняйте эти подполя вместе с основными кодами поля</w:t>
      </w:r>
      <w:r>
        <w:t xml:space="preserve"> </w:t>
      </w:r>
      <w:r>
        <w:rPr>
          <w:rStyle w:val="VerbatimChar"/>
        </w:rPr>
        <w:t xml:space="preserve">900</w:t>
      </w:r>
      <w:r>
        <w:t xml:space="preserve">, а не вместо них. Подполе</w:t>
      </w:r>
      <w:r>
        <w:t xml:space="preserve"> </w:t>
      </w:r>
      <w:r>
        <w:rPr>
          <w:rStyle w:val="VerbatimChar"/>
        </w:rPr>
        <w:t xml:space="preserve">^!</w:t>
      </w:r>
      <w:r>
        <w:t xml:space="preserve"> </w:t>
      </w:r>
      <w:r>
        <w:t xml:space="preserve">используется для кода иностранного агента, подполе</w:t>
      </w:r>
      <w:r>
        <w:t xml:space="preserve"> </w:t>
      </w:r>
      <w:r>
        <w:rPr>
          <w:rStyle w:val="VerbatimChar"/>
        </w:rPr>
        <w:t xml:space="preserve">^@</w:t>
      </w:r>
      <w:r>
        <w:t xml:space="preserve"> </w:t>
      </w:r>
      <w:r>
        <w:t xml:space="preserve">- для указания автора, к которому относится признак. Такие локальные подполя нужны для последующей обработки и отбора записей, но не отменяют заполнение вида, типа и характера документа по обычным правилам.</w:t>
      </w:r>
    </w:p>
    <w:bookmarkEnd w:id="51"/>
    <w:bookmarkStart w:id="52" w:name="поле-110-коды-сериального-издания"/>
    <w:p>
      <w:pPr>
        <w:pStyle w:val="Heading4"/>
      </w:pPr>
      <w:r>
        <w:t xml:space="preserve">3. Поле 110: коды сериального издания</w:t>
      </w:r>
    </w:p>
    <w:p>
      <w:pPr>
        <w:pStyle w:val="FirstParagraph"/>
      </w:pPr>
      <w:r>
        <w:t xml:space="preserve">Поле</w:t>
      </w:r>
      <w:r>
        <w:t xml:space="preserve"> </w:t>
      </w:r>
      <w:r>
        <w:rPr>
          <w:rStyle w:val="VerbatimChar"/>
        </w:rPr>
        <w:t xml:space="preserve">110</w:t>
      </w:r>
      <w:r>
        <w:t xml:space="preserve"> </w:t>
      </w:r>
      <w:r>
        <w:t xml:space="preserve">используется для документов-журналов и других сериальных изданий.</w:t>
      </w:r>
    </w:p>
    <w:p>
      <w:pPr>
        <w:pStyle w:val="BodyText"/>
      </w:pPr>
      <w:r>
        <w:t xml:space="preserve">В поле вводятся:</w:t>
      </w:r>
    </w:p>
    <w:p>
      <w:pPr>
        <w:pStyle w:val="Compact"/>
        <w:numPr>
          <w:ilvl w:val="0"/>
          <w:numId w:val="1012"/>
        </w:numPr>
      </w:pPr>
      <w:r>
        <w:t xml:space="preserve">тип сериального издания;</w:t>
      </w:r>
    </w:p>
    <w:p>
      <w:pPr>
        <w:pStyle w:val="Compact"/>
        <w:numPr>
          <w:ilvl w:val="0"/>
          <w:numId w:val="1012"/>
        </w:numPr>
      </w:pPr>
      <w:r>
        <w:t xml:space="preserve">вид;</w:t>
      </w:r>
    </w:p>
    <w:p>
      <w:pPr>
        <w:pStyle w:val="Compact"/>
        <w:numPr>
          <w:ilvl w:val="0"/>
          <w:numId w:val="1012"/>
        </w:numPr>
      </w:pPr>
      <w:r>
        <w:t xml:space="preserve">периодичность: код и число выпусков в году;</w:t>
      </w:r>
    </w:p>
    <w:p>
      <w:pPr>
        <w:pStyle w:val="Compact"/>
        <w:numPr>
          <w:ilvl w:val="0"/>
          <w:numId w:val="1012"/>
        </w:numPr>
      </w:pPr>
      <w:r>
        <w:t xml:space="preserve">регулярность;</w:t>
      </w:r>
    </w:p>
    <w:p>
      <w:pPr>
        <w:pStyle w:val="Compact"/>
        <w:numPr>
          <w:ilvl w:val="0"/>
          <w:numId w:val="1012"/>
        </w:numPr>
      </w:pPr>
      <w:r>
        <w:t xml:space="preserve">характер издания;</w:t>
      </w:r>
    </w:p>
    <w:p>
      <w:pPr>
        <w:pStyle w:val="Compact"/>
        <w:numPr>
          <w:ilvl w:val="0"/>
          <w:numId w:val="1012"/>
        </w:numPr>
      </w:pPr>
      <w:r>
        <w:t xml:space="preserve">содержательное наполнение;</w:t>
      </w:r>
    </w:p>
    <w:p>
      <w:pPr>
        <w:pStyle w:val="Compact"/>
        <w:numPr>
          <w:ilvl w:val="0"/>
          <w:numId w:val="1012"/>
        </w:numPr>
      </w:pPr>
      <w:r>
        <w:t xml:space="preserve">признак материалов конференции;</w:t>
      </w:r>
    </w:p>
    <w:p>
      <w:pPr>
        <w:pStyle w:val="Compact"/>
        <w:numPr>
          <w:ilvl w:val="0"/>
          <w:numId w:val="1012"/>
        </w:numPr>
      </w:pPr>
      <w:r>
        <w:t xml:space="preserve">признаки наличия указателя и кумулятивного указателя.</w:t>
      </w:r>
    </w:p>
    <w:p>
      <w:pPr>
        <w:pStyle w:val="FirstParagraph"/>
      </w:pPr>
      <w:r>
        <w:t xml:space="preserve">Для документа-журнала обязательны вид и периодичность. Тип заполняется для нетрадиционных изданий.</w:t>
      </w:r>
    </w:p>
    <w:p>
      <w:pPr>
        <w:pStyle w:val="BodyText"/>
      </w:pPr>
      <w:r>
        <w:t xml:space="preserve">Оба представления периодичности вводятся одновременно. Число выпусков в году может использоваться при подготовке выходных форм по непоступившим номерам.</w:t>
      </w:r>
    </w:p>
    <w:p>
      <w:pPr>
        <w:pStyle w:val="BodyText"/>
      </w:pPr>
      <w:r>
        <w:t xml:space="preserve">Содержательное наполнение может иметь несколько значений и вводиться в режиме мультиввода.</w:t>
      </w:r>
    </w:p>
    <w:bookmarkEnd w:id="52"/>
    <w:bookmarkStart w:id="53" w:name="поля-102-101-и-911-страна-и-языки"/>
    <w:p>
      <w:pPr>
        <w:pStyle w:val="Heading4"/>
      </w:pPr>
      <w:r>
        <w:t xml:space="preserve">4. Поля 102, 101 и 911: страна и языки</w:t>
      </w:r>
    </w:p>
    <w:p>
      <w:pPr>
        <w:pStyle w:val="FirstParagraph"/>
      </w:pPr>
      <w:r>
        <w:t xml:space="preserve">Поле</w:t>
      </w:r>
      <w:r>
        <w:t xml:space="preserve"> </w:t>
      </w:r>
      <w:r>
        <w:rPr>
          <w:rStyle w:val="VerbatimChar"/>
        </w:rPr>
        <w:t xml:space="preserve">102</w:t>
      </w:r>
      <w:r>
        <w:t xml:space="preserve"> </w:t>
      </w:r>
      <w:r>
        <w:t xml:space="preserve">содержит страну издания. Поля</w:t>
      </w:r>
      <w:r>
        <w:t xml:space="preserve"> </w:t>
      </w:r>
      <w:r>
        <w:rPr>
          <w:rStyle w:val="VerbatimChar"/>
        </w:rPr>
        <w:t xml:space="preserve">101</w:t>
      </w:r>
      <w:r>
        <w:t xml:space="preserve"> </w:t>
      </w:r>
      <w:r>
        <w:t xml:space="preserve">и</w:t>
      </w:r>
      <w:r>
        <w:t xml:space="preserve"> </w:t>
      </w:r>
      <w:r>
        <w:rPr>
          <w:rStyle w:val="VerbatimChar"/>
        </w:rPr>
        <w:t xml:space="preserve">911</w:t>
      </w:r>
      <w:r>
        <w:t xml:space="preserve"> </w:t>
      </w:r>
      <w:r>
        <w:t xml:space="preserve">используются для языка основного текста и языка резюме.</w:t>
      </w:r>
    </w:p>
    <w:p>
      <w:pPr>
        <w:pStyle w:val="BodyText"/>
      </w:pPr>
      <w:r>
        <w:t xml:space="preserve">Коды вводятся через меню. В многоязычных изданиях коды языка могут повторяться. По умолчанию в рабочих листах обычно установлены страна</w:t>
      </w:r>
      <w:r>
        <w:t xml:space="preserve"> </w:t>
      </w:r>
      <w:r>
        <w:rPr>
          <w:rStyle w:val="VerbatimChar"/>
        </w:rPr>
        <w:t xml:space="preserve">RU</w:t>
      </w:r>
      <w:r>
        <w:t xml:space="preserve"> </w:t>
      </w:r>
      <w:r>
        <w:t xml:space="preserve">и язык основного текста</w:t>
      </w:r>
      <w:r>
        <w:t xml:space="preserve"> </w:t>
      </w:r>
      <w:r>
        <w:rPr>
          <w:rStyle w:val="VerbatimChar"/>
        </w:rPr>
        <w:t xml:space="preserve">rus</w:t>
      </w:r>
      <w:r>
        <w:t xml:space="preserve">, но эти значения нужно проверять по фактическому документу.</w:t>
      </w:r>
    </w:p>
    <w:p>
      <w:pPr>
        <w:pStyle w:val="BodyText"/>
      </w:pPr>
      <w:r>
        <w:t xml:space="preserve">Повторяющиеся коды языков можно вводить в режиме мультиввода. В поле поиска меню можно вводить начальные буквы названия языка.</w:t>
      </w:r>
    </w:p>
    <w:bookmarkEnd w:id="53"/>
    <w:bookmarkStart w:id="54" w:name="поле-919-дополнительные-языковые-данные"/>
    <w:p>
      <w:pPr>
        <w:pStyle w:val="Heading4"/>
      </w:pPr>
      <w:r>
        <w:t xml:space="preserve">5. Поле 919: дополнительные языковые данные</w:t>
      </w:r>
    </w:p>
    <w:p>
      <w:pPr>
        <w:pStyle w:val="FirstParagraph"/>
      </w:pPr>
      <w:r>
        <w:t xml:space="preserve">Поле</w:t>
      </w:r>
      <w:r>
        <w:t xml:space="preserve"> </w:t>
      </w:r>
      <w:r>
        <w:rPr>
          <w:rStyle w:val="VerbatimChar"/>
        </w:rPr>
        <w:t xml:space="preserve">919</w:t>
      </w:r>
      <w:r>
        <w:t xml:space="preserve"> </w:t>
      </w:r>
      <w:r>
        <w:t xml:space="preserve">содержит дополнительные сведения, которые важны для корректной передачи записи в коммуникативные форматы:</w:t>
      </w:r>
    </w:p>
    <w:p>
      <w:pPr>
        <w:pStyle w:val="Compact"/>
        <w:numPr>
          <w:ilvl w:val="0"/>
          <w:numId w:val="1013"/>
        </w:numPr>
      </w:pPr>
      <w:r>
        <w:t xml:space="preserve">язык каталогизации;</w:t>
      </w:r>
    </w:p>
    <w:p>
      <w:pPr>
        <w:pStyle w:val="Compact"/>
        <w:numPr>
          <w:ilvl w:val="0"/>
          <w:numId w:val="1013"/>
        </w:numPr>
      </w:pPr>
      <w:r>
        <w:t xml:space="preserve">правила каталогизации;</w:t>
      </w:r>
    </w:p>
    <w:p>
      <w:pPr>
        <w:pStyle w:val="Compact"/>
        <w:numPr>
          <w:ilvl w:val="0"/>
          <w:numId w:val="1013"/>
        </w:numPr>
      </w:pPr>
      <w:r>
        <w:t xml:space="preserve">наборы символов;</w:t>
      </w:r>
    </w:p>
    <w:p>
      <w:pPr>
        <w:pStyle w:val="Compact"/>
        <w:numPr>
          <w:ilvl w:val="0"/>
          <w:numId w:val="1013"/>
        </w:numPr>
      </w:pPr>
      <w:r>
        <w:t xml:space="preserve">графику заглавия;</w:t>
      </w:r>
    </w:p>
    <w:p>
      <w:pPr>
        <w:pStyle w:val="Compact"/>
        <w:numPr>
          <w:ilvl w:val="0"/>
          <w:numId w:val="1013"/>
        </w:numPr>
      </w:pPr>
      <w:r>
        <w:t xml:space="preserve">язык промежуточного перевода;</w:t>
      </w:r>
    </w:p>
    <w:p>
      <w:pPr>
        <w:pStyle w:val="Compact"/>
        <w:numPr>
          <w:ilvl w:val="0"/>
          <w:numId w:val="1013"/>
        </w:numPr>
      </w:pPr>
      <w:r>
        <w:t xml:space="preserve">язык оригинала, оглавления, титульного листа, основного заглавия и сопроводительного материала.</w:t>
      </w:r>
    </w:p>
    <w:p>
      <w:pPr>
        <w:pStyle w:val="FirstParagraph"/>
      </w:pPr>
      <w:r>
        <w:t xml:space="preserve">Эти данные могут не выводиться в обычных просмотровых форматах, но нужны для обменных форматов и контрольных полей.</w:t>
      </w:r>
    </w:p>
    <w:p>
      <w:pPr>
        <w:pStyle w:val="BodyText"/>
      </w:pPr>
      <w:r>
        <w:t xml:space="preserve">Язык каталогизации по умолчанию обычно установлен как русский. Наборы символов должны соответствовать фактической графике записи. Графику заглавия нужно заполнять, если графика основного заглавия источника отличается от языка основного текста.</w:t>
      </w:r>
    </w:p>
    <w:bookmarkEnd w:id="54"/>
    <w:bookmarkStart w:id="55" w:name="поле-10-isbn-и-цена"/>
    <w:p>
      <w:pPr>
        <w:pStyle w:val="Heading4"/>
      </w:pPr>
      <w:r>
        <w:t xml:space="preserve">6. Поле 10: ISBN и цена</w:t>
      </w:r>
    </w:p>
    <w:p>
      <w:pPr>
        <w:pStyle w:val="FirstParagraph"/>
      </w:pPr>
      <w:r>
        <w:t xml:space="preserve">Поле</w:t>
      </w:r>
      <w:r>
        <w:t xml:space="preserve"> </w:t>
      </w:r>
      <w:r>
        <w:rPr>
          <w:rStyle w:val="VerbatimChar"/>
        </w:rPr>
        <w:t xml:space="preserve">10</w:t>
      </w:r>
      <w:r>
        <w:t xml:space="preserve"> </w:t>
      </w:r>
      <w:r>
        <w:t xml:space="preserve">содержит:</w:t>
      </w:r>
    </w:p>
    <w:p>
      <w:pPr>
        <w:pStyle w:val="Compact"/>
        <w:numPr>
          <w:ilvl w:val="0"/>
          <w:numId w:val="1014"/>
        </w:numPr>
      </w:pPr>
      <w:r>
        <w:t xml:space="preserve">ISBN;</w:t>
      </w:r>
    </w:p>
    <w:p>
      <w:pPr>
        <w:pStyle w:val="Compact"/>
        <w:numPr>
          <w:ilvl w:val="0"/>
          <w:numId w:val="1014"/>
        </w:numPr>
      </w:pPr>
      <w:r>
        <w:t xml:space="preserve">уточнения;</w:t>
      </w:r>
    </w:p>
    <w:p>
      <w:pPr>
        <w:pStyle w:val="Compact"/>
        <w:numPr>
          <w:ilvl w:val="0"/>
          <w:numId w:val="1014"/>
        </w:numPr>
      </w:pPr>
      <w:r>
        <w:t xml:space="preserve">ошибочный ISBN;</w:t>
      </w:r>
    </w:p>
    <w:p>
      <w:pPr>
        <w:pStyle w:val="Compact"/>
        <w:numPr>
          <w:ilvl w:val="0"/>
          <w:numId w:val="1014"/>
        </w:numPr>
      </w:pPr>
      <w:r>
        <w:t xml:space="preserve">общую цену;</w:t>
      </w:r>
    </w:p>
    <w:p>
      <w:pPr>
        <w:pStyle w:val="Compact"/>
        <w:numPr>
          <w:ilvl w:val="0"/>
          <w:numId w:val="1014"/>
        </w:numPr>
      </w:pPr>
      <w:r>
        <w:t xml:space="preserve">обозначение валюты.</w:t>
      </w:r>
    </w:p>
    <w:p>
      <w:pPr>
        <w:pStyle w:val="FirstParagraph"/>
      </w:pPr>
      <w:r>
        <w:t xml:space="preserve">Поле может повторяться, если у издания несколько ISBN.</w:t>
      </w:r>
    </w:p>
    <w:p>
      <w:pPr>
        <w:pStyle w:val="BodyText"/>
      </w:pPr>
      <w:r>
        <w:t xml:space="preserve">ISBN вводится в полной структуре. Система выполняет формально-логический контроль ISBN и проверку на дублетность. Контроль диагностический: ISBN с ошибкой может быть сохранён, если каталогизатор проверил, что ошибка напечатана в самом документе.</w:t>
      </w:r>
    </w:p>
    <w:p>
      <w:pPr>
        <w:pStyle w:val="BodyText"/>
      </w:pPr>
      <w:r>
        <w:t xml:space="preserve">Если впоследствии издатель даёт замену ошибочного ISBN, старый номер нужно перенести в подполе ошибочного ISBN.</w:t>
      </w:r>
    </w:p>
    <w:p>
      <w:pPr>
        <w:pStyle w:val="BodyText"/>
      </w:pPr>
      <w:r>
        <w:t xml:space="preserve">Цена вводится цифрами без обозначения валюты или текстом, например</w:t>
      </w:r>
      <w:r>
        <w:t xml:space="preserve"> </w:t>
      </w:r>
      <w:r>
        <w:rPr>
          <w:rStyle w:val="VerbatimChar"/>
        </w:rPr>
        <w:t xml:space="preserve">бесплатно</w:t>
      </w:r>
      <w:r>
        <w:t xml:space="preserve">. Если валюта отличается от значения по умолчанию в</w:t>
      </w:r>
      <w:r>
        <w:t xml:space="preserve"> </w:t>
      </w:r>
      <w:r>
        <w:rPr>
          <w:rStyle w:val="VerbatimChar"/>
        </w:rPr>
        <w:t xml:space="preserve">ORG.MNU</w:t>
      </w:r>
      <w:r>
        <w:t xml:space="preserve">, её нужно указать отдельно. Использование разных валют в одной записи нежелательно, потому что это осложняет списание и проверку фонда.</w:t>
      </w:r>
    </w:p>
    <w:p>
      <w:pPr>
        <w:pStyle w:val="BodyText"/>
      </w:pPr>
      <w:r>
        <w:t xml:space="preserve">ISBN включается в общий словарь идентификаторов вместе с ISSN и идентификаторами нетекстовых материалов.</w:t>
      </w:r>
    </w:p>
    <w:bookmarkEnd w:id="55"/>
    <w:bookmarkStart w:id="56" w:name="поле-11-issn"/>
    <w:p>
      <w:pPr>
        <w:pStyle w:val="Heading4"/>
      </w:pPr>
      <w:r>
        <w:t xml:space="preserve">7. Поле 11: ISSN</w:t>
      </w:r>
    </w:p>
    <w:p>
      <w:pPr>
        <w:pStyle w:val="FirstParagraph"/>
      </w:pPr>
      <w:r>
        <w:t xml:space="preserve">Поле</w:t>
      </w:r>
      <w:r>
        <w:t xml:space="preserve"> </w:t>
      </w:r>
      <w:r>
        <w:rPr>
          <w:rStyle w:val="VerbatimChar"/>
        </w:rPr>
        <w:t xml:space="preserve">11</w:t>
      </w:r>
      <w:r>
        <w:t xml:space="preserve"> </w:t>
      </w:r>
      <w:r>
        <w:t xml:space="preserve">содержит ISSN. Оно может повторяться, включая отменённые ISSN, если организация считает нужным хранить их в записи.</w:t>
      </w:r>
    </w:p>
    <w:p>
      <w:pPr>
        <w:pStyle w:val="BodyText"/>
      </w:pPr>
      <w:r>
        <w:t xml:space="preserve">ISSN вводится без дефиса. Система выполняет контроль правильности и сверку на дублетность. Контроль диагностический.</w:t>
      </w:r>
    </w:p>
    <w:p>
      <w:pPr>
        <w:pStyle w:val="BodyText"/>
      </w:pPr>
      <w:r>
        <w:t xml:space="preserve">ISSN включается в общий словарь идентификаторов вместе с ISBN и идентификаторами нетекстовых материалов.</w:t>
      </w:r>
    </w:p>
    <w:bookmarkEnd w:id="56"/>
    <w:bookmarkStart w:id="57" w:name="X1222f0ff0b9eec6647009f7b7fa8c46c6516756"/>
    <w:p>
      <w:pPr>
        <w:pStyle w:val="Heading4"/>
      </w:pPr>
      <w:r>
        <w:t xml:space="preserve">8. Поле 19: идентификационный номер нетекстовых материалов</w:t>
      </w:r>
    </w:p>
    <w:p>
      <w:pPr>
        <w:pStyle w:val="FirstParagraph"/>
      </w:pPr>
      <w:r>
        <w:t xml:space="preserve">Поле</w:t>
      </w:r>
      <w:r>
        <w:t xml:space="preserve"> </w:t>
      </w:r>
      <w:r>
        <w:rPr>
          <w:rStyle w:val="VerbatimChar"/>
        </w:rPr>
        <w:t xml:space="preserve">19</w:t>
      </w:r>
      <w:r>
        <w:t xml:space="preserve"> </w:t>
      </w:r>
      <w:r>
        <w:t xml:space="preserve">используется для стандартных номеров нетекстовых материалов: нот, звукозаписей и других материалов.</w:t>
      </w:r>
    </w:p>
    <w:p>
      <w:pPr>
        <w:pStyle w:val="BodyText"/>
      </w:pPr>
      <w:r>
        <w:t xml:space="preserve">Поле может повторяться для основного документа и приложения, если они имеют разные стандартные номера.</w:t>
      </w:r>
    </w:p>
    <w:p>
      <w:pPr>
        <w:pStyle w:val="BodyText"/>
      </w:pPr>
      <w:r>
        <w:t xml:space="preserve">В поле указываются признак основного документа или приложения, тип номера и сам номер. Тип номера выбирается через меню. Автоматический контроль структуры не выполняется, но проводится диагностическая сверка на дублетность номера вместе с типом.</w:t>
      </w:r>
    </w:p>
    <w:p>
      <w:pPr>
        <w:pStyle w:val="BodyText"/>
      </w:pPr>
      <w:r>
        <w:t xml:space="preserve">Идентификационный номер включается в общий словарь идентификаторов.</w:t>
      </w:r>
    </w:p>
    <w:bookmarkEnd w:id="57"/>
    <w:bookmarkStart w:id="58" w:name="Xd6696a3592625b2fdd2e1bf4325c5a3a6d4fde0"/>
    <w:p>
      <w:pPr>
        <w:pStyle w:val="Heading4"/>
      </w:pPr>
      <w:r>
        <w:t xml:space="preserve">9. Поле 904: шифр отдельно хранящегося приложения</w:t>
      </w:r>
    </w:p>
    <w:p>
      <w:pPr>
        <w:pStyle w:val="FirstParagraph"/>
      </w:pPr>
      <w:r>
        <w:t xml:space="preserve">Поле</w:t>
      </w:r>
      <w:r>
        <w:t xml:space="preserve"> </w:t>
      </w:r>
      <w:r>
        <w:rPr>
          <w:rStyle w:val="VerbatimChar"/>
        </w:rPr>
        <w:t xml:space="preserve">904</w:t>
      </w:r>
      <w:r>
        <w:t xml:space="preserve"> </w:t>
      </w:r>
      <w:r>
        <w:t xml:space="preserve">заполняется, если у документа есть сопроводительный материал или приложение, хранящееся отдельно от основного документа.</w:t>
      </w:r>
    </w:p>
    <w:p>
      <w:pPr>
        <w:pStyle w:val="BodyText"/>
      </w:pPr>
      <w:r>
        <w:t xml:space="preserve">В поле указываются:</w:t>
      </w:r>
    </w:p>
    <w:p>
      <w:pPr>
        <w:pStyle w:val="Compact"/>
        <w:numPr>
          <w:ilvl w:val="0"/>
          <w:numId w:val="1015"/>
        </w:numPr>
      </w:pPr>
      <w:r>
        <w:t xml:space="preserve">шифр приложения;</w:t>
      </w:r>
    </w:p>
    <w:p>
      <w:pPr>
        <w:pStyle w:val="Compact"/>
        <w:numPr>
          <w:ilvl w:val="0"/>
          <w:numId w:val="1015"/>
        </w:numPr>
      </w:pPr>
      <w:r>
        <w:t xml:space="preserve">нетрадиционный носитель;</w:t>
      </w:r>
    </w:p>
    <w:p>
      <w:pPr>
        <w:pStyle w:val="Compact"/>
        <w:numPr>
          <w:ilvl w:val="0"/>
          <w:numId w:val="1015"/>
        </w:numPr>
      </w:pPr>
      <w:r>
        <w:t xml:space="preserve">место хранения;</w:t>
      </w:r>
    </w:p>
    <w:p>
      <w:pPr>
        <w:pStyle w:val="Compact"/>
        <w:numPr>
          <w:ilvl w:val="0"/>
          <w:numId w:val="1015"/>
        </w:numPr>
      </w:pPr>
      <w:r>
        <w:t xml:space="preserve">примечание.</w:t>
      </w:r>
    </w:p>
    <w:p>
      <w:pPr>
        <w:pStyle w:val="FirstParagraph"/>
      </w:pPr>
      <w:r>
        <w:t xml:space="preserve">Поле повторяется по числу отдельно хранящихся приложений. Примечание вводится свободным текстом и может уточнять состав или содержание приложения.</w:t>
      </w:r>
    </w:p>
    <w:bookmarkEnd w:id="58"/>
    <w:bookmarkStart w:id="59" w:name="страница-основное-бо-авторы-и-заглавие"/>
    <w:p>
      <w:pPr>
        <w:pStyle w:val="Heading4"/>
      </w:pPr>
      <w:r>
        <w:t xml:space="preserve">10. Страница</w:t>
      </w:r>
      <w:r>
        <w:t xml:space="preserve"> </w:t>
      </w:r>
      <w:r>
        <w:rPr>
          <w:rStyle w:val="VerbatimChar"/>
        </w:rPr>
        <w:t xml:space="preserve">Основное БО</w:t>
      </w:r>
      <w:r>
        <w:t xml:space="preserve">: авторы и заглавие</w:t>
      </w:r>
    </w:p>
    <w:p>
      <w:pPr>
        <w:pStyle w:val="FirstParagraph"/>
      </w:pPr>
      <w:r>
        <w:t xml:space="preserve">Страница</w:t>
      </w:r>
      <w:r>
        <w:t xml:space="preserve"> </w:t>
      </w:r>
      <w:r>
        <w:rPr>
          <w:rStyle w:val="VerbatimChar"/>
        </w:rPr>
        <w:t xml:space="preserve">Основное БО</w:t>
      </w:r>
      <w:r>
        <w:t xml:space="preserve"> </w:t>
      </w:r>
      <w:r>
        <w:t xml:space="preserve">содержит основные элементы библиографического описания: авторов, коллективы, заглавие, сведения об ответственности, сведения о выпусках, частях, статьях сборника и томах в одной печатной единице.</w:t>
      </w:r>
    </w:p>
    <w:bookmarkEnd w:id="59"/>
    <w:bookmarkStart w:id="60" w:name="X884ca7f8154476f9f033310924821184a49e000"/>
    <w:p>
      <w:pPr>
        <w:pStyle w:val="Heading4"/>
      </w:pPr>
      <w:r>
        <w:t xml:space="preserve">11. Поле 700: первый автор - заголовок описания</w:t>
      </w:r>
    </w:p>
    <w:p>
      <w:pPr>
        <w:pStyle w:val="FirstParagraph"/>
      </w:pPr>
      <w:r>
        <w:t xml:space="preserve">Поле</w:t>
      </w:r>
      <w:r>
        <w:t xml:space="preserve"> </w:t>
      </w:r>
      <w:r>
        <w:rPr>
          <w:rStyle w:val="VerbatimChar"/>
        </w:rPr>
        <w:t xml:space="preserve">700</w:t>
      </w:r>
      <w:r>
        <w:t xml:space="preserve"> </w:t>
      </w:r>
      <w:r>
        <w:t xml:space="preserve">заполняется, если документ описывается под автором и число авторов меньше четырёх.</w:t>
      </w:r>
    </w:p>
    <w:p>
      <w:pPr>
        <w:pStyle w:val="BodyText"/>
      </w:pPr>
      <w:r>
        <w:t xml:space="preserve">В поле вводятся фамилия, инициалы, раскрытие инициалов, дополнительные данные имени, даты жизни, данные авторитетной записи, признак допустимости инверсии ФИО, место работы и функции автора.</w:t>
      </w:r>
    </w:p>
    <w:p>
      <w:pPr>
        <w:pStyle w:val="BodyText"/>
      </w:pPr>
      <w:r>
        <w:t xml:space="preserve">Термин для словаря авторов формируется из фамилии, римских цифр, раскрытия инициалов или инициалов, а также дополнительных данных. Разночтение фамилии также попадает в словарь авторов и может использоваться для ссылочной каталожной карточки.</w:t>
      </w:r>
    </w:p>
    <w:p>
      <w:pPr>
        <w:pStyle w:val="BodyText"/>
      </w:pPr>
      <w:r>
        <w:t xml:space="preserve">При автоматическом формировании сведений об ответственности из поля выбираются фамилия, римские цифры, инициалы или раскрытие инициалов. Признак допустимости инверсии определяет порядок следования фамилии и инициалов.</w:t>
      </w:r>
    </w:p>
    <w:bookmarkEnd w:id="60"/>
    <w:bookmarkStart w:id="61" w:name="поле-701-другие-индивидуальные-авторы"/>
    <w:p>
      <w:pPr>
        <w:pStyle w:val="Heading4"/>
      </w:pPr>
      <w:r>
        <w:t xml:space="preserve">12. Поле 701: другие индивидуальные авторы</w:t>
      </w:r>
    </w:p>
    <w:p>
      <w:pPr>
        <w:pStyle w:val="FirstParagraph"/>
      </w:pPr>
      <w:r>
        <w:t xml:space="preserve">Поле</w:t>
      </w:r>
      <w:r>
        <w:t xml:space="preserve"> </w:t>
      </w:r>
      <w:r>
        <w:rPr>
          <w:rStyle w:val="VerbatimChar"/>
        </w:rPr>
        <w:t xml:space="preserve">701</w:t>
      </w:r>
      <w:r>
        <w:t xml:space="preserve"> </w:t>
      </w:r>
      <w:r>
        <w:t xml:space="preserve">используется для авторов, которые не входят в заголовок описания.</w:t>
      </w:r>
    </w:p>
    <w:p>
      <w:pPr>
        <w:pStyle w:val="BodyText"/>
      </w:pPr>
      <w:r>
        <w:t xml:space="preserve">Если авторов не больше трёх, в</w:t>
      </w:r>
      <w:r>
        <w:t xml:space="preserve"> </w:t>
      </w:r>
      <w:r>
        <w:rPr>
          <w:rStyle w:val="VerbatimChar"/>
        </w:rPr>
        <w:t xml:space="preserve">701</w:t>
      </w:r>
      <w:r>
        <w:t xml:space="preserve"> </w:t>
      </w:r>
      <w:r>
        <w:t xml:space="preserve">вводятся авторы, начиная со второго. Если авторов больше трёх, в это поле вводятся все авторы, включая первого, потому что описание ведётся под заглавием.</w:t>
      </w:r>
    </w:p>
    <w:p>
      <w:pPr>
        <w:pStyle w:val="BodyText"/>
      </w:pPr>
      <w:r>
        <w:t xml:space="preserve">Авторы могут вводиться с использованием словаря базы электронного каталога и авторитетной базы. Для повторяющихся полей можно использовать мультиввод.</w:t>
      </w:r>
    </w:p>
    <w:p>
      <w:pPr>
        <w:pStyle w:val="BodyText"/>
      </w:pPr>
      <w:r>
        <w:t xml:space="preserve">Каталогизатор может указать роль автора, например необходимость добавочной каталожной карточки.</w:t>
      </w:r>
    </w:p>
    <w:bookmarkEnd w:id="61"/>
    <w:bookmarkStart w:id="62" w:name="X54a12e8853bc016fafcccd79942ad2601083aad"/>
    <w:p>
      <w:pPr>
        <w:pStyle w:val="Heading4"/>
      </w:pPr>
      <w:r>
        <w:t xml:space="preserve">13. Поле 702: лица с вторичной ответственностью</w:t>
      </w:r>
    </w:p>
    <w:p>
      <w:pPr>
        <w:pStyle w:val="FirstParagraph"/>
      </w:pPr>
      <w:r>
        <w:t xml:space="preserve">Поле</w:t>
      </w:r>
      <w:r>
        <w:t xml:space="preserve"> </w:t>
      </w:r>
      <w:r>
        <w:rPr>
          <w:rStyle w:val="VerbatimChar"/>
        </w:rPr>
        <w:t xml:space="preserve">702</w:t>
      </w:r>
      <w:r>
        <w:t xml:space="preserve"> </w:t>
      </w:r>
      <w:r>
        <w:t xml:space="preserve">используется для редакторов, составителей, переводчиков, композиторов, художников и других лиц с вторичной интеллектуальной ответственностью.</w:t>
      </w:r>
    </w:p>
    <w:p>
      <w:pPr>
        <w:pStyle w:val="BodyText"/>
      </w:pPr>
      <w:r>
        <w:t xml:space="preserve">В поле вводятся функции лица, уточнение функции, ФИО, дополнительные данные имени, даты жизни, данные авторитетной записи, признак допустимости инверсии, место работы и роль.</w:t>
      </w:r>
    </w:p>
    <w:p>
      <w:pPr>
        <w:pStyle w:val="BodyText"/>
      </w:pPr>
      <w:r>
        <w:t xml:space="preserve">Все имена с указанием функции включаются в словарь авторов. Если лица с вторичной ответственностью указаны в полях содержания, сборника без общего заглавия или нескольких томов в одной печатной единице, их нужно дополнительно ввести в</w:t>
      </w:r>
      <w:r>
        <w:t xml:space="preserve"> </w:t>
      </w:r>
      <w:r>
        <w:rPr>
          <w:rStyle w:val="VerbatimChar"/>
        </w:rPr>
        <w:t xml:space="preserve">702</w:t>
      </w:r>
      <w:r>
        <w:t xml:space="preserve">, чтобы они попали в словарь авторов.</w:t>
      </w:r>
    </w:p>
    <w:bookmarkEnd w:id="62"/>
    <w:bookmarkStart w:id="63" w:name="поля-711-и-972-коллективные-авторы"/>
    <w:p>
      <w:pPr>
        <w:pStyle w:val="Heading4"/>
      </w:pPr>
      <w:r>
        <w:t xml:space="preserve">14. Поля 711 и 972: коллективные авторы</w:t>
      </w:r>
    </w:p>
    <w:p>
      <w:pPr>
        <w:pStyle w:val="FirstParagraph"/>
      </w:pPr>
      <w:r>
        <w:t xml:space="preserve">Поле</w:t>
      </w:r>
      <w:r>
        <w:t xml:space="preserve"> </w:t>
      </w:r>
      <w:r>
        <w:rPr>
          <w:rStyle w:val="VerbatimChar"/>
        </w:rPr>
        <w:t xml:space="preserve">711</w:t>
      </w:r>
      <w:r>
        <w:t xml:space="preserve"> </w:t>
      </w:r>
      <w:r>
        <w:t xml:space="preserve">используется для коллективных авторов, которые не входят в заголовок описания.</w:t>
      </w:r>
    </w:p>
    <w:p>
      <w:pPr>
        <w:pStyle w:val="BodyText"/>
      </w:pPr>
      <w:r>
        <w:t xml:space="preserve">Поле</w:t>
      </w:r>
      <w:r>
        <w:t xml:space="preserve"> </w:t>
      </w:r>
      <w:r>
        <w:rPr>
          <w:rStyle w:val="VerbatimChar"/>
        </w:rPr>
        <w:t xml:space="preserve">972</w:t>
      </w:r>
      <w:r>
        <w:t xml:space="preserve"> </w:t>
      </w:r>
      <w:r>
        <w:t xml:space="preserve">используется для временных коллективных авторов, которые не входят в заголовок описания.</w:t>
      </w:r>
    </w:p>
    <w:p>
      <w:pPr>
        <w:pStyle w:val="BodyText"/>
      </w:pPr>
      <w:r>
        <w:t xml:space="preserve">Для коллективов и временных коллективов можно указать данные авторитетной записи, наименование, страну или город, номер, подразделение, сокращение по ГОСТ, функцию и роль. Роль определяет, нужна ли добавочная карточка и нужно ли включать коллектив в сведения об ответственности.</w:t>
      </w:r>
    </w:p>
    <w:p>
      <w:pPr>
        <w:pStyle w:val="BodyText"/>
      </w:pPr>
      <w:r>
        <w:t xml:space="preserve">Полное наименование включается в словарь коллективов, отдельные слова - в словарь ключевых слов. Если заглавие подразделения должно индексироваться самостоятельно, указывается признак характерного заглавия подразделения.</w:t>
      </w:r>
    </w:p>
    <w:bookmarkEnd w:id="63"/>
    <w:bookmarkStart w:id="64" w:name="X3b8e505d6392749ced07263bc03eb87581200a7"/>
    <w:p>
      <w:pPr>
        <w:pStyle w:val="Heading4"/>
      </w:pPr>
      <w:r>
        <w:t xml:space="preserve">15. Поле 200: заглавие и сведения об ответственности</w:t>
      </w:r>
    </w:p>
    <w:p>
      <w:pPr>
        <w:pStyle w:val="FirstParagraph"/>
      </w:pPr>
      <w:r>
        <w:t xml:space="preserve">Поле</w:t>
      </w:r>
      <w:r>
        <w:t xml:space="preserve"> </w:t>
      </w:r>
      <w:r>
        <w:rPr>
          <w:rStyle w:val="VerbatimChar"/>
        </w:rPr>
        <w:t xml:space="preserve">200</w:t>
      </w:r>
      <w:r>
        <w:t xml:space="preserve"> </w:t>
      </w:r>
      <w:r>
        <w:t xml:space="preserve">содержит заглавие, сведения, относящиеся к заглавию, общее обозначение материала и сведения об ответственности.</w:t>
      </w:r>
    </w:p>
    <w:p>
      <w:pPr>
        <w:pStyle w:val="BodyText"/>
      </w:pPr>
      <w:r>
        <w:t xml:space="preserve">При сводном описании тома в это поле вводятся заглавие тома и номер тома. Если в одной печатной единице описывается несколько томов, данные о томах вводятся в</w:t>
      </w:r>
      <w:r>
        <w:t xml:space="preserve"> </w:t>
      </w:r>
      <w:r>
        <w:rPr>
          <w:rStyle w:val="VerbatimChar"/>
        </w:rPr>
        <w:t xml:space="preserve">925</w:t>
      </w:r>
      <w:r>
        <w:t xml:space="preserve">, а в</w:t>
      </w:r>
      <w:r>
        <w:t xml:space="preserve"> </w:t>
      </w:r>
      <w:r>
        <w:rPr>
          <w:rStyle w:val="VerbatimChar"/>
        </w:rPr>
        <w:t xml:space="preserve">200</w:t>
      </w:r>
      <w:r>
        <w:t xml:space="preserve"> </w:t>
      </w:r>
      <w:r>
        <w:t xml:space="preserve">остаются данные, общие для документа в целом.</w:t>
      </w:r>
    </w:p>
    <w:p>
      <w:pPr>
        <w:pStyle w:val="BodyText"/>
      </w:pPr>
      <w:r>
        <w:t xml:space="preserve">Сведения, относящиеся к заглавию, могут формироваться автоматически на основе кода характера документа и справочника соответствий. Это автоматическое формирование можно отключить в настройке или через корректировку соответствующего справочника.</w:t>
      </w:r>
    </w:p>
    <w:p>
      <w:pPr>
        <w:pStyle w:val="BodyText"/>
      </w:pPr>
      <w:r>
        <w:t xml:space="preserve">Сведения об ответственности могут вводиться вручную, через словарь в режиме мультиввода или формироваться автоматически из полей авторов, редакторов, коллективов и временных коллективов.</w:t>
      </w:r>
    </w:p>
    <w:p>
      <w:pPr>
        <w:pStyle w:val="BodyText"/>
      </w:pPr>
      <w:r>
        <w:t xml:space="preserve">При автоматическом формировании учитываются:</w:t>
      </w:r>
    </w:p>
    <w:p>
      <w:pPr>
        <w:pStyle w:val="Compact"/>
        <w:numPr>
          <w:ilvl w:val="0"/>
          <w:numId w:val="1016"/>
        </w:numPr>
      </w:pPr>
      <w:r>
        <w:t xml:space="preserve">допустимость инверсии ФИО;</w:t>
      </w:r>
    </w:p>
    <w:p>
      <w:pPr>
        <w:pStyle w:val="Compact"/>
        <w:numPr>
          <w:ilvl w:val="0"/>
          <w:numId w:val="1016"/>
        </w:numPr>
      </w:pPr>
      <w:r>
        <w:t xml:space="preserve">наличие автора-заголовка;</w:t>
      </w:r>
    </w:p>
    <w:p>
      <w:pPr>
        <w:pStyle w:val="Compact"/>
        <w:numPr>
          <w:ilvl w:val="0"/>
          <w:numId w:val="1016"/>
        </w:numPr>
      </w:pPr>
      <w:r>
        <w:t xml:space="preserve">количество авторов и лиц с одинаковой функцией;</w:t>
      </w:r>
    </w:p>
    <w:p>
      <w:pPr>
        <w:pStyle w:val="Compact"/>
        <w:numPr>
          <w:ilvl w:val="0"/>
          <w:numId w:val="1016"/>
        </w:numPr>
      </w:pPr>
      <w:r>
        <w:t xml:space="preserve">язык основного текста, от которого зависят константы вроде</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16"/>
        </w:numPr>
      </w:pPr>
      <w:r>
        <w:t xml:space="preserve">признак включения коллективов в сведения об ответственности.</w:t>
      </w:r>
    </w:p>
    <w:p>
      <w:pPr>
        <w:pStyle w:val="FirstParagraph"/>
      </w:pPr>
      <w:r>
        <w:t xml:space="preserve">Если сведения об ответственности уже заполнены, система может анализировать их при сохранении и дополнительно вводить недостающие поисковые данные, например первого автора-заголовок.</w:t>
      </w:r>
    </w:p>
    <w:p>
      <w:pPr>
        <w:pStyle w:val="BodyText"/>
      </w:pPr>
      <w:r>
        <w:t xml:space="preserve">Заглавие включается в словарь заглавий, а отдельные слова - в словарь ключевых слов. Для заглавия можно указать необходимость добавочной карточки или признак нехарактерного заглавия.</w:t>
      </w:r>
    </w:p>
    <w:bookmarkEnd w:id="64"/>
    <w:bookmarkStart w:id="65" w:name="поле-923-выпуск-часть-номер-заглавие"/>
    <w:p>
      <w:pPr>
        <w:pStyle w:val="Heading4"/>
      </w:pPr>
      <w:r>
        <w:t xml:space="preserve">16. Поле 923: выпуск, часть, номер-заглавие</w:t>
      </w:r>
    </w:p>
    <w:p>
      <w:pPr>
        <w:pStyle w:val="FirstParagraph"/>
      </w:pPr>
      <w:r>
        <w:t xml:space="preserve">Поле</w:t>
      </w:r>
      <w:r>
        <w:t xml:space="preserve"> </w:t>
      </w:r>
      <w:r>
        <w:rPr>
          <w:rStyle w:val="VerbatimChar"/>
        </w:rPr>
        <w:t xml:space="preserve">923</w:t>
      </w:r>
      <w:r>
        <w:t xml:space="preserve"> </w:t>
      </w:r>
      <w:r>
        <w:t xml:space="preserve">используется для сведений о выпуске или части. Поле может повторяться, если в книге описано несколько выпусков или частей.</w:t>
      </w:r>
    </w:p>
    <w:p>
      <w:pPr>
        <w:pStyle w:val="BodyText"/>
      </w:pPr>
      <w:r>
        <w:t xml:space="preserve">Для томов многотомного издания условная иерархия деления печатной единицы выглядит так: том - выпуск - часть.</w:t>
      </w:r>
    </w:p>
    <w:p>
      <w:pPr>
        <w:pStyle w:val="BodyText"/>
      </w:pPr>
      <w:r>
        <w:t xml:space="preserve">Номер тома указывается в поле</w:t>
      </w:r>
      <w:r>
        <w:t xml:space="preserve"> </w:t>
      </w:r>
      <w:r>
        <w:rPr>
          <w:rStyle w:val="VerbatimChar"/>
        </w:rPr>
        <w:t xml:space="preserve">200</w:t>
      </w:r>
      <w:r>
        <w:t xml:space="preserve"> </w:t>
      </w:r>
      <w:r>
        <w:t xml:space="preserve">при сводном описании тома или в области серии при монографическом описании. В</w:t>
      </w:r>
      <w:r>
        <w:t xml:space="preserve"> </w:t>
      </w:r>
      <w:r>
        <w:rPr>
          <w:rStyle w:val="VerbatimChar"/>
        </w:rPr>
        <w:t xml:space="preserve">923</w:t>
      </w:r>
      <w:r>
        <w:t xml:space="preserve"> </w:t>
      </w:r>
      <w:r>
        <w:t xml:space="preserve">указываются вторая и третья единицы деления.</w:t>
      </w:r>
    </w:p>
    <w:p>
      <w:pPr>
        <w:pStyle w:val="BodyText"/>
      </w:pPr>
      <w:r>
        <w:t xml:space="preserve">Если выпуск или часть нужно описать подробнее, например с авторами и редакторами, вместо</w:t>
      </w:r>
      <w:r>
        <w:t xml:space="preserve"> </w:t>
      </w:r>
      <w:r>
        <w:rPr>
          <w:rStyle w:val="VerbatimChar"/>
        </w:rPr>
        <w:t xml:space="preserve">923</w:t>
      </w:r>
      <w:r>
        <w:t xml:space="preserve"> </w:t>
      </w:r>
      <w:r>
        <w:t xml:space="preserve">используется поле</w:t>
      </w:r>
      <w:r>
        <w:t xml:space="preserve"> </w:t>
      </w:r>
      <w:r>
        <w:rPr>
          <w:rStyle w:val="VerbatimChar"/>
        </w:rPr>
        <w:t xml:space="preserve">925</w:t>
      </w:r>
      <w:r>
        <w:t xml:space="preserve">.</w:t>
      </w:r>
    </w:p>
    <w:bookmarkEnd w:id="65"/>
    <w:bookmarkStart w:id="66" w:name="Xc8893661e6f031da416cb116a36b1138de53b75"/>
    <w:p>
      <w:pPr>
        <w:pStyle w:val="Heading4"/>
      </w:pPr>
      <w:r>
        <w:t xml:space="preserve">17. Поле 922: вторая и последующие статьи сборника</w:t>
      </w:r>
    </w:p>
    <w:p>
      <w:pPr>
        <w:pStyle w:val="FirstParagraph"/>
      </w:pPr>
      <w:r>
        <w:t xml:space="preserve">Поле</w:t>
      </w:r>
      <w:r>
        <w:t xml:space="preserve"> </w:t>
      </w:r>
      <w:r>
        <w:rPr>
          <w:rStyle w:val="VerbatimChar"/>
        </w:rPr>
        <w:t xml:space="preserve">922</w:t>
      </w:r>
      <w:r>
        <w:t xml:space="preserve"> </w:t>
      </w:r>
      <w:r>
        <w:t xml:space="preserve">используется для второй и последующих статей сборника произведений или статей нескольких авторов, если сборник не имеет общего заглавия.</w:t>
      </w:r>
    </w:p>
    <w:p>
      <w:pPr>
        <w:pStyle w:val="BodyText"/>
      </w:pPr>
      <w:r>
        <w:t xml:space="preserve">Первая статья описывается по общим правилам в полях заглавия и автора-заголовка. Для каждой последующей статьи в</w:t>
      </w:r>
      <w:r>
        <w:t xml:space="preserve"> </w:t>
      </w:r>
      <w:r>
        <w:rPr>
          <w:rStyle w:val="VerbatimChar"/>
        </w:rPr>
        <w:t xml:space="preserve">922</w:t>
      </w:r>
      <w:r>
        <w:t xml:space="preserve"> </w:t>
      </w:r>
      <w:r>
        <w:t xml:space="preserve">вводятся заглавие, авторы, сведения к заглавию, сведения об ответственности, параллельные заглавия, части и подразделы.</w:t>
      </w:r>
    </w:p>
    <w:p>
      <w:pPr>
        <w:pStyle w:val="BodyText"/>
      </w:pPr>
      <w:r>
        <w:t xml:space="preserve">На каждую статью готовится добавочная каталожная карточка. Авторы попадают в словарь авторов, заглавия - в словарь заглавий, отдельные слова - в словарь ключевых слов.</w:t>
      </w:r>
    </w:p>
    <w:p>
      <w:pPr>
        <w:pStyle w:val="BodyText"/>
      </w:pPr>
      <w:r>
        <w:t xml:space="preserve">Если несколько произведений принадлежат одному автору, данные автора можно указать в последнем из связанных повторений и сослаться на него из предыдущих повторений.</w:t>
      </w:r>
    </w:p>
    <w:bookmarkEnd w:id="66"/>
    <w:bookmarkStart w:id="67" w:name="поле-925-несколько-томов-в-одной-книге"/>
    <w:p>
      <w:pPr>
        <w:pStyle w:val="Heading4"/>
      </w:pPr>
      <w:r>
        <w:t xml:space="preserve">18. Поле 925: несколько томов в одной книге</w:t>
      </w:r>
    </w:p>
    <w:p>
      <w:pPr>
        <w:pStyle w:val="FirstParagraph"/>
      </w:pPr>
      <w:r>
        <w:t xml:space="preserve">Поле</w:t>
      </w:r>
      <w:r>
        <w:t xml:space="preserve"> </w:t>
      </w:r>
      <w:r>
        <w:rPr>
          <w:rStyle w:val="VerbatimChar"/>
        </w:rPr>
        <w:t xml:space="preserve">925</w:t>
      </w:r>
      <w:r>
        <w:t xml:space="preserve"> </w:t>
      </w:r>
      <w:r>
        <w:t xml:space="preserve">используется в двух основных случаях:</w:t>
      </w:r>
    </w:p>
    <w:p>
      <w:pPr>
        <w:pStyle w:val="Compact"/>
        <w:numPr>
          <w:ilvl w:val="0"/>
          <w:numId w:val="1017"/>
        </w:numPr>
      </w:pPr>
      <w:r>
        <w:t xml:space="preserve">одно издание содержит несколько частей, которые нужно описать подробнее, чем позволяет</w:t>
      </w:r>
      <w:r>
        <w:t xml:space="preserve"> </w:t>
      </w:r>
      <w:r>
        <w:rPr>
          <w:rStyle w:val="VerbatimChar"/>
        </w:rPr>
        <w:t xml:space="preserve">923</w:t>
      </w:r>
      <w:r>
        <w:t xml:space="preserve">;</w:t>
      </w:r>
    </w:p>
    <w:p>
      <w:pPr>
        <w:pStyle w:val="Compact"/>
        <w:numPr>
          <w:ilvl w:val="0"/>
          <w:numId w:val="1017"/>
        </w:numPr>
      </w:pPr>
      <w:r>
        <w:t xml:space="preserve">одна печатная единица содержит несколько томов многотомного издания.</w:t>
      </w:r>
    </w:p>
    <w:p>
      <w:pPr>
        <w:pStyle w:val="FirstParagraph"/>
      </w:pPr>
      <w:r>
        <w:t xml:space="preserve">Если описывается несколько томов в одной печатной единице, поле</w:t>
      </w:r>
      <w:r>
        <w:t xml:space="preserve"> </w:t>
      </w:r>
      <w:r>
        <w:rPr>
          <w:rStyle w:val="VerbatimChar"/>
        </w:rPr>
        <w:t xml:space="preserve">200</w:t>
      </w:r>
      <w:r>
        <w:t xml:space="preserve"> </w:t>
      </w:r>
      <w:r>
        <w:t xml:space="preserve">содержит только данные, общие для всей книги, а сведения обо всех томах вводятся в</w:t>
      </w:r>
      <w:r>
        <w:t xml:space="preserve"> </w:t>
      </w:r>
      <w:r>
        <w:rPr>
          <w:rStyle w:val="VerbatimChar"/>
        </w:rPr>
        <w:t xml:space="preserve">925</w:t>
      </w:r>
      <w:r>
        <w:t xml:space="preserve">.</w:t>
      </w:r>
    </w:p>
    <w:p>
      <w:pPr>
        <w:pStyle w:val="BodyText"/>
      </w:pPr>
      <w:r>
        <w:t xml:space="preserve">Поле</w:t>
      </w:r>
      <w:r>
        <w:t xml:space="preserve"> </w:t>
      </w:r>
      <w:r>
        <w:rPr>
          <w:rStyle w:val="VerbatimChar"/>
        </w:rPr>
        <w:t xml:space="preserve">925</w:t>
      </w:r>
      <w:r>
        <w:t xml:space="preserve"> </w:t>
      </w:r>
      <w:r>
        <w:t xml:space="preserve">может повторяться для разных томов или для разных заглавий одного тома, если у произведений разные авторы или другие дополнительные данные.</w:t>
      </w:r>
    </w:p>
    <w:p>
      <w:pPr>
        <w:pStyle w:val="BodyText"/>
      </w:pPr>
      <w:r>
        <w:t xml:space="preserve">Данные авторов и лиц с вторичной ответственностью, введённые в</w:t>
      </w:r>
      <w:r>
        <w:t xml:space="preserve"> </w:t>
      </w:r>
      <w:r>
        <w:rPr>
          <w:rStyle w:val="VerbatimChar"/>
        </w:rPr>
        <w:t xml:space="preserve">925</w:t>
      </w:r>
      <w:r>
        <w:t xml:space="preserve">, могут использоваться для формирования сведений об ответственности и поисковых полей. После автоматического формирования сведения можно отредактировать вручную.</w:t>
      </w:r>
    </w:p>
    <w:p>
      <w:pPr>
        <w:pStyle w:val="BodyText"/>
      </w:pPr>
      <w:r>
        <w:t xml:space="preserve">Поле содержит признаки, которые управляют представлением данных в выходных документах:</w:t>
      </w:r>
    </w:p>
    <w:p>
      <w:pPr>
        <w:pStyle w:val="Compact"/>
        <w:numPr>
          <w:ilvl w:val="0"/>
          <w:numId w:val="1018"/>
        </w:numPr>
      </w:pPr>
      <w:r>
        <w:rPr>
          <w:rStyle w:val="VerbatimChar"/>
        </w:rPr>
        <w:t xml:space="preserve">Автор(ы) следующего тома (заглавия) ТЕ ЖЕ</w:t>
      </w:r>
      <w:r>
        <w:t xml:space="preserve"> </w:t>
      </w:r>
      <w:r>
        <w:t xml:space="preserve">используется, когда несколько, но не все произведения принадлежат одному автору. Авторы вводятся в каждое повторение поля, а признак ставится в тех повторениях, где авторы следующего тома или заглавия совпадают с текущими. В выходных документах такие авторы выводятся один раз после последнего произведения.</w:t>
      </w:r>
    </w:p>
    <w:p>
      <w:pPr>
        <w:pStyle w:val="Compact"/>
        <w:numPr>
          <w:ilvl w:val="0"/>
          <w:numId w:val="1018"/>
        </w:numPr>
      </w:pPr>
      <w:r>
        <w:rPr>
          <w:rStyle w:val="VerbatimChar"/>
        </w:rPr>
        <w:t xml:space="preserve">Автора текущего тома (заглавия) НЕТ, следующего - ЕСТЬ</w:t>
      </w:r>
      <w:r>
        <w:t xml:space="preserve"> </w:t>
      </w:r>
      <w:r>
        <w:t xml:space="preserve">используется в повторении, где текущий том или заглавие не имеет автора, а следующий имеет. В выходных документах между такими томами или заглавиями ставится разделительный знак.</w:t>
      </w:r>
    </w:p>
    <w:p>
      <w:pPr>
        <w:pStyle w:val="Compact"/>
        <w:numPr>
          <w:ilvl w:val="0"/>
          <w:numId w:val="1018"/>
        </w:numPr>
      </w:pPr>
      <w:r>
        <w:rPr>
          <w:rStyle w:val="VerbatimChar"/>
        </w:rPr>
        <w:t xml:space="preserve">Номер тома в форматах просмотра и КК не выводить</w:t>
      </w:r>
      <w:r>
        <w:t xml:space="preserve"> </w:t>
      </w:r>
      <w:r>
        <w:t xml:space="preserve">используется, когда в одном томе несколько произведений с разными дополнительными данными. Номер тома вводится в каждое повторение, но в непоследних повторениях ставится признак запрета вывода, чтобы номер был выведен один раз.</w:t>
      </w:r>
    </w:p>
    <w:bookmarkEnd w:id="67"/>
    <w:bookmarkStart w:id="68" w:name="поле-205-сведения-об-издании"/>
    <w:p>
      <w:pPr>
        <w:pStyle w:val="Heading4"/>
      </w:pPr>
      <w:r>
        <w:t xml:space="preserve">19. Поле 205: сведения об издании</w:t>
      </w:r>
    </w:p>
    <w:p>
      <w:pPr>
        <w:pStyle w:val="FirstParagraph"/>
      </w:pPr>
      <w:r>
        <w:t xml:space="preserve">Поле</w:t>
      </w:r>
      <w:r>
        <w:t xml:space="preserve"> </w:t>
      </w:r>
      <w:r>
        <w:rPr>
          <w:rStyle w:val="VerbatimChar"/>
        </w:rPr>
        <w:t xml:space="preserve">205</w:t>
      </w:r>
      <w:r>
        <w:t xml:space="preserve"> </w:t>
      </w:r>
      <w:r>
        <w:t xml:space="preserve">содержит сведения об издании документа, дополнительные и параллельные сведения об издании, а также первые и последующие сведения об ответственности, относящиеся к изданию.</w:t>
      </w:r>
    </w:p>
    <w:p>
      <w:pPr>
        <w:pStyle w:val="BodyText"/>
      </w:pPr>
      <w:r>
        <w:t xml:space="preserve">Поле повторяется для дополнительных тиражей одного издания, если у них совпадают библиографические и выходные данные с первым изданием.</w:t>
      </w:r>
    </w:p>
    <w:bookmarkEnd w:id="68"/>
    <w:bookmarkStart w:id="69" w:name="поле-210-выходные-данные"/>
    <w:p>
      <w:pPr>
        <w:pStyle w:val="Heading4"/>
      </w:pPr>
      <w:r>
        <w:t xml:space="preserve">20. Поле 210: выходные данные</w:t>
      </w:r>
    </w:p>
    <w:p>
      <w:pPr>
        <w:pStyle w:val="FirstParagraph"/>
      </w:pPr>
      <w:r>
        <w:t xml:space="preserve">Поле</w:t>
      </w:r>
      <w:r>
        <w:t xml:space="preserve"> </w:t>
      </w:r>
      <w:r>
        <w:rPr>
          <w:rStyle w:val="VerbatimChar"/>
        </w:rPr>
        <w:t xml:space="preserve">210</w:t>
      </w:r>
      <w:r>
        <w:t xml:space="preserve"> </w:t>
      </w:r>
      <w:r>
        <w:t xml:space="preserve">содержит сведения об издательстве или издающей организации, функции издающей организации, городах, годе издания, годе окончания издания для сериальных и периодических изданий, пояснениях к году, месте печати, типографии и дате изготовления.</w:t>
      </w:r>
    </w:p>
    <w:p>
      <w:pPr>
        <w:pStyle w:val="BodyText"/>
      </w:pPr>
      <w:r>
        <w:t xml:space="preserve">Поле повторяется по числу издательств. Каждому издательству может соответствовать до трёх городов. Если издательство уже вводилось в базу в другом документе, его можно перенести из словаря вместе с соответствующими городами. Год издания приводится один раз; если дата неизвестна, элемент данных</w:t>
      </w:r>
      <w:r>
        <w:t xml:space="preserve"> </w:t>
      </w:r>
      <w:r>
        <w:rPr>
          <w:rStyle w:val="VerbatimChar"/>
        </w:rPr>
        <w:t xml:space="preserve">Год</w:t>
      </w:r>
      <w:r>
        <w:t xml:space="preserve"> </w:t>
      </w:r>
      <w:r>
        <w:t xml:space="preserve">не заполняется.</w:t>
      </w:r>
    </w:p>
    <w:p>
      <w:pPr>
        <w:pStyle w:val="BodyText"/>
      </w:pPr>
      <w:r>
        <w:t xml:space="preserve">Наименование издательства вместе с городами, города и год издания включаются в поисковые словари. Место печати, наименование типографии и дата изготовления обычно приводятся, когда издательство неизвестно.</w:t>
      </w:r>
    </w:p>
    <w:p>
      <w:pPr>
        <w:pStyle w:val="BodyText"/>
      </w:pPr>
      <w:r>
        <w:t xml:space="preserve">Для управления выводом можно указать:</w:t>
      </w:r>
    </w:p>
    <w:p>
      <w:pPr>
        <w:pStyle w:val="Compact"/>
        <w:numPr>
          <w:ilvl w:val="0"/>
          <w:numId w:val="1019"/>
        </w:numPr>
      </w:pPr>
      <w:r>
        <w:t xml:space="preserve">в первом повторении - выводить только первое издательство с пометой</w:t>
      </w:r>
      <w:r>
        <w:t xml:space="preserve"> </w:t>
      </w:r>
      <w:r>
        <w:rPr>
          <w:rStyle w:val="VerbatimChar"/>
        </w:rPr>
        <w:t xml:space="preserve">и др.</w:t>
      </w:r>
      <w:r>
        <w:t xml:space="preserve">;</w:t>
      </w:r>
    </w:p>
    <w:p>
      <w:pPr>
        <w:pStyle w:val="Compact"/>
        <w:numPr>
          <w:ilvl w:val="0"/>
          <w:numId w:val="1019"/>
        </w:numPr>
      </w:pPr>
      <w:r>
        <w:t xml:space="preserve">в непервых повторениях - не выводить города, например когда несколько издательств расположены в одних городах;</w:t>
      </w:r>
    </w:p>
    <w:p>
      <w:pPr>
        <w:pStyle w:val="Compact"/>
        <w:numPr>
          <w:ilvl w:val="0"/>
          <w:numId w:val="1019"/>
        </w:numPr>
      </w:pPr>
      <w:r>
        <w:t xml:space="preserve">город на издании, если он отличается от стандартного написания. В словарь при этом попадает стандартное написание города.</w:t>
      </w:r>
    </w:p>
    <w:p>
      <w:pPr>
        <w:pStyle w:val="FirstParagraph"/>
      </w:pPr>
      <w:r>
        <w:t xml:space="preserve">При вводе тома многотомного издания в сводном описании поле можно не заполнять, если все выходные данные тома совпадают с общей частью сводного описания. Для сериальных изданий, прекративших существование, вводится год окончания издания.</w:t>
      </w:r>
    </w:p>
    <w:p>
      <w:pPr>
        <w:pStyle w:val="BodyText"/>
      </w:pPr>
      <w:r>
        <w:t xml:space="preserve">При описании электронного ресурса год может повторяться для разных составляющих одного документа.</w:t>
      </w:r>
    </w:p>
    <w:bookmarkEnd w:id="69"/>
    <w:bookmarkStart w:id="70" w:name="поле-215-количественные-характеристики"/>
    <w:p>
      <w:pPr>
        <w:pStyle w:val="Heading4"/>
      </w:pPr>
      <w:r>
        <w:t xml:space="preserve">21. Поле 215: количественные характеристики</w:t>
      </w:r>
    </w:p>
    <w:p>
      <w:pPr>
        <w:pStyle w:val="FirstParagraph"/>
      </w:pPr>
      <w:r>
        <w:t xml:space="preserve">Поле</w:t>
      </w:r>
      <w:r>
        <w:t xml:space="preserve"> </w:t>
      </w:r>
      <w:r>
        <w:rPr>
          <w:rStyle w:val="VerbatimChar"/>
        </w:rPr>
        <w:t xml:space="preserve">215</w:t>
      </w:r>
      <w:r>
        <w:t xml:space="preserve"> </w:t>
      </w:r>
      <w:r>
        <w:t xml:space="preserve">содержит объём, единицу измерения, сведения об иллюстрациях, сопроводительном материале, размере, виде упаковки, признаке</w:t>
      </w:r>
      <w:r>
        <w:t xml:space="preserve"> </w:t>
      </w:r>
      <w:r>
        <w:rPr>
          <w:rStyle w:val="VerbatimChar"/>
        </w:rPr>
        <w:t xml:space="preserve">не на баланс</w:t>
      </w:r>
      <w:r>
        <w:t xml:space="preserve">, тираже и признаке</w:t>
      </w:r>
      <w:r>
        <w:t xml:space="preserve"> </w:t>
      </w:r>
      <w:r>
        <w:rPr>
          <w:rStyle w:val="VerbatimChar"/>
        </w:rPr>
        <w:t xml:space="preserve">Состоит из ... книг</w:t>
      </w:r>
      <w:r>
        <w:t xml:space="preserve">.</w:t>
      </w:r>
    </w:p>
    <w:p>
      <w:pPr>
        <w:pStyle w:val="BodyText"/>
      </w:pPr>
      <w:r>
        <w:t xml:space="preserve">При описании электронных ресурсов или при сложной пагинации поле может повторяться. Все элементы данных записываются по общим правилам без предшествующих разделительных знаков; в элементе</w:t>
      </w:r>
      <w:r>
        <w:t xml:space="preserve"> </w:t>
      </w:r>
      <w:r>
        <w:rPr>
          <w:rStyle w:val="VerbatimChar"/>
        </w:rPr>
        <w:t xml:space="preserve">Объём</w:t>
      </w:r>
      <w:r>
        <w:t xml:space="preserve"> </w:t>
      </w:r>
      <w:r>
        <w:t xml:space="preserve">указываются только цифры. Сложная, двойная или параллельная пагинация вводится полными данными; разнотипная пагинация записывается в разные повторения поля.</w:t>
      </w:r>
    </w:p>
    <w:p>
      <w:pPr>
        <w:pStyle w:val="BodyText"/>
      </w:pPr>
      <w:r>
        <w:t xml:space="preserve">Единица измерения объёма основного документа и сопроводительного материала выбирается через меню для документов разных типов. Если она не заполнена, значение берётся из</w:t>
      </w:r>
      <w:r>
        <w:t xml:space="preserve"> </w:t>
      </w:r>
      <w:r>
        <w:rPr>
          <w:rStyle w:val="VerbatimChar"/>
        </w:rPr>
        <w:t xml:space="preserve">ORG.MNU</w:t>
      </w:r>
      <w:r>
        <w:t xml:space="preserve">.</w:t>
      </w:r>
    </w:p>
    <w:p>
      <w:pPr>
        <w:pStyle w:val="BodyText"/>
      </w:pPr>
      <w:r>
        <w:t xml:space="preserve">Для электронных ресурсов единица измерения вводится в форме, совместимой с требованиями ГОСТ и UNIMARC, чтобы одни и те же данные можно было использовать и в документе, и при конвертировании в коммуникативные форматы.</w:t>
      </w:r>
    </w:p>
    <w:p>
      <w:pPr>
        <w:pStyle w:val="BodyText"/>
      </w:pPr>
      <w:r>
        <w:t xml:space="preserve">Сведения об иллюстрациях можно вводить через меню в режиме мультиввода. Вид упаковки предназначен главным образом для нот, грампластинок и других нетрадиционных изданий. Признак</w:t>
      </w:r>
      <w:r>
        <w:t xml:space="preserve"> </w:t>
      </w:r>
      <w:r>
        <w:rPr>
          <w:rStyle w:val="VerbatimChar"/>
        </w:rPr>
        <w:t xml:space="preserve">Состоит из ... книг</w:t>
      </w:r>
      <w:r>
        <w:t xml:space="preserve"> </w:t>
      </w:r>
      <w:r>
        <w:t xml:space="preserve">полезен, например, когда после переплёта старая книга разделяется на несколько частей, на каждую из которых готовится карточка-формуляр.</w:t>
      </w:r>
    </w:p>
    <w:p>
      <w:pPr>
        <w:pStyle w:val="BodyText"/>
      </w:pPr>
      <w:r>
        <w:t xml:space="preserve">Признак</w:t>
      </w:r>
      <w:r>
        <w:t xml:space="preserve"> </w:t>
      </w:r>
      <w:r>
        <w:rPr>
          <w:rStyle w:val="VerbatimChar"/>
        </w:rPr>
        <w:t xml:space="preserve">не на баланс</w:t>
      </w:r>
      <w:r>
        <w:t xml:space="preserve"> </w:t>
      </w:r>
      <w:r>
        <w:t xml:space="preserve">означает, что документ не будет выдаваться в инвентарные списки, но будет отражён в книге суммарного учёта. Для определения брошюры или другого вида документа для анализа в КСУ используется соответствующий код в элементе</w:t>
      </w:r>
      <w:r>
        <w:t xml:space="preserve"> </w:t>
      </w:r>
      <w:r>
        <w:rPr>
          <w:rStyle w:val="VerbatimChar"/>
        </w:rPr>
        <w:t xml:space="preserve">Характер документа</w:t>
      </w:r>
      <w:r>
        <w:t xml:space="preserve">.</w:t>
      </w:r>
    </w:p>
    <w:bookmarkEnd w:id="70"/>
    <w:bookmarkStart w:id="71" w:name="страница-рл-расширенное-бо"/>
    <w:p>
      <w:pPr>
        <w:pStyle w:val="Heading4"/>
      </w:pPr>
      <w:r>
        <w:t xml:space="preserve">22. Страница РЛ</w:t>
      </w:r>
      <w:r>
        <w:t xml:space="preserve"> </w:t>
      </w:r>
      <w:r>
        <w:rPr>
          <w:rStyle w:val="VerbatimChar"/>
        </w:rPr>
        <w:t xml:space="preserve">Расширенное БО</w:t>
      </w:r>
    </w:p>
    <w:p>
      <w:pPr>
        <w:pStyle w:val="FirstParagraph"/>
      </w:pPr>
      <w:r>
        <w:t xml:space="preserve">Страница</w:t>
      </w:r>
      <w:r>
        <w:t xml:space="preserve"> </w:t>
      </w:r>
      <w:r>
        <w:rPr>
          <w:rStyle w:val="VerbatimChar"/>
        </w:rPr>
        <w:t xml:space="preserve">Расширенное БО</w:t>
      </w:r>
      <w:r>
        <w:t xml:space="preserve"> </w:t>
      </w:r>
      <w:r>
        <w:t xml:space="preserve">содержит дополнительные элементы библиографического описания: примечания, сведения о диссертации, область серии, варианты заглавий и связи с другими изданиями.</w:t>
      </w:r>
    </w:p>
    <w:bookmarkEnd w:id="71"/>
    <w:bookmarkStart w:id="72" w:name="поля-300-912-320-и-314-примечания"/>
    <w:p>
      <w:pPr>
        <w:pStyle w:val="Heading4"/>
      </w:pPr>
      <w:r>
        <w:t xml:space="preserve">23. Поля 300, 912, 320 и 314: примечания</w:t>
      </w:r>
    </w:p>
    <w:p>
      <w:pPr>
        <w:pStyle w:val="FirstParagraph"/>
      </w:pPr>
      <w:r>
        <w:t xml:space="preserve">Поле</w:t>
      </w:r>
      <w:r>
        <w:t xml:space="preserve"> </w:t>
      </w:r>
      <w:r>
        <w:rPr>
          <w:rStyle w:val="VerbatimChar"/>
        </w:rPr>
        <w:t xml:space="preserve">300</w:t>
      </w:r>
      <w:r>
        <w:t xml:space="preserve"> </w:t>
      </w:r>
      <w:r>
        <w:t xml:space="preserve">используется для общих примечаний. Слова, заключённые в угловые скобки, включаются в словарь ключевых слов.</w:t>
      </w:r>
    </w:p>
    <w:p>
      <w:pPr>
        <w:pStyle w:val="BodyText"/>
      </w:pPr>
      <w:r>
        <w:t xml:space="preserve">Поле</w:t>
      </w:r>
      <w:r>
        <w:t xml:space="preserve"> </w:t>
      </w:r>
      <w:r>
        <w:rPr>
          <w:rStyle w:val="VerbatimChar"/>
        </w:rPr>
        <w:t xml:space="preserve">912</w:t>
      </w:r>
      <w:r>
        <w:t xml:space="preserve"> </w:t>
      </w:r>
      <w:r>
        <w:t xml:space="preserve">содержит примечание о языке и заполняется в свободной форме.</w:t>
      </w:r>
    </w:p>
    <w:p>
      <w:pPr>
        <w:pStyle w:val="BodyText"/>
      </w:pPr>
      <w:r>
        <w:t xml:space="preserve">Поле</w:t>
      </w:r>
      <w:r>
        <w:t xml:space="preserve"> </w:t>
      </w:r>
      <w:r>
        <w:rPr>
          <w:rStyle w:val="VerbatimChar"/>
        </w:rPr>
        <w:t xml:space="preserve">320</w:t>
      </w:r>
      <w:r>
        <w:t xml:space="preserve"> </w:t>
      </w:r>
      <w:r>
        <w:t xml:space="preserve">содержит примечание о наличии библиографии. Данные вводятся с использованием справочника</w:t>
      </w:r>
      <w:r>
        <w:t xml:space="preserve"> </w:t>
      </w:r>
      <w:r>
        <w:rPr>
          <w:rStyle w:val="VerbatimChar"/>
        </w:rPr>
        <w:t xml:space="preserve">320.mnu</w:t>
      </w:r>
      <w:r>
        <w:t xml:space="preserve">; за одно обращение можно выбрать несколько типовых констант, после чего нужно добавить цифровые данные.</w:t>
      </w:r>
    </w:p>
    <w:p>
      <w:pPr>
        <w:pStyle w:val="BodyText"/>
      </w:pPr>
      <w:r>
        <w:t xml:space="preserve">Поле</w:t>
      </w:r>
      <w:r>
        <w:t xml:space="preserve"> </w:t>
      </w:r>
      <w:r>
        <w:rPr>
          <w:rStyle w:val="VerbatimChar"/>
        </w:rPr>
        <w:t xml:space="preserve">314</w:t>
      </w:r>
      <w:r>
        <w:t xml:space="preserve"> </w:t>
      </w:r>
      <w:r>
        <w:t xml:space="preserve">содержит примечание об интеллектуальной ответственности и заполняется в свободной форме.</w:t>
      </w:r>
    </w:p>
    <w:bookmarkEnd w:id="72"/>
    <w:bookmarkStart w:id="73" w:name="поле-328-примечание-о-диссертации"/>
    <w:p>
      <w:pPr>
        <w:pStyle w:val="Heading4"/>
      </w:pPr>
      <w:r>
        <w:t xml:space="preserve">24. Поле 328: примечание о диссертации</w:t>
      </w:r>
    </w:p>
    <w:p>
      <w:pPr>
        <w:pStyle w:val="FirstParagraph"/>
      </w:pPr>
      <w:r>
        <w:t xml:space="preserve">Поле</w:t>
      </w:r>
      <w:r>
        <w:t xml:space="preserve"> </w:t>
      </w:r>
      <w:r>
        <w:rPr>
          <w:rStyle w:val="VerbatimChar"/>
        </w:rPr>
        <w:t xml:space="preserve">328</w:t>
      </w:r>
      <w:r>
        <w:t xml:space="preserve"> </w:t>
      </w:r>
      <w:r>
        <w:t xml:space="preserve">содержит учёную степень, коды номенклатуры специальности, дату защиты, дату утверждения, номер государственной регистрации и место защиты.</w:t>
      </w:r>
    </w:p>
    <w:p>
      <w:pPr>
        <w:pStyle w:val="BodyText"/>
      </w:pPr>
      <w:r>
        <w:t xml:space="preserve">Код номенклатуры специальности может вводиться до трёх раз через меню и включается в поисковый словарь. Если поле</w:t>
      </w:r>
      <w:r>
        <w:t xml:space="preserve"> </w:t>
      </w:r>
      <w:r>
        <w:rPr>
          <w:rStyle w:val="VerbatimChar"/>
        </w:rPr>
        <w:t xml:space="preserve">328</w:t>
      </w:r>
      <w:r>
        <w:t xml:space="preserve"> </w:t>
      </w:r>
      <w:r>
        <w:t xml:space="preserve">заполнено, а сведения, относящиеся к заглавию, отсутствуют, при сохранении документа они могут формироваться с учётом кода характера документа: автореферат или диссертация.</w:t>
      </w:r>
    </w:p>
    <w:p>
      <w:pPr>
        <w:pStyle w:val="BodyText"/>
      </w:pPr>
      <w:r>
        <w:t xml:space="preserve">Актуальный справочник специальностей для этого поля основан на</w:t>
      </w:r>
      <w:r>
        <w:t xml:space="preserve"> </w:t>
      </w:r>
      <w:r>
        <w:rPr>
          <w:rStyle w:val="VerbatimChar"/>
        </w:rPr>
        <w:t xml:space="preserve">ОК 017-2024</w:t>
      </w:r>
      <w:r>
        <w:t xml:space="preserve"> </w:t>
      </w:r>
      <w:r>
        <w:t xml:space="preserve">- Общероссийском классификаторе специальностей высшей научной квалификации. В типовой поставке выбор кодов выполняется через меню</w:t>
      </w:r>
      <w:r>
        <w:t xml:space="preserve"> </w:t>
      </w:r>
      <w:r>
        <w:rPr>
          <w:rStyle w:val="VerbatimChar"/>
        </w:rPr>
        <w:t xml:space="preserve">spec.mnu</w:t>
      </w:r>
      <w:r>
        <w:t xml:space="preserve"> </w:t>
      </w:r>
      <w:r>
        <w:t xml:space="preserve">и дерево</w:t>
      </w:r>
      <w:r>
        <w:t xml:space="preserve"> </w:t>
      </w:r>
      <w:r>
        <w:rPr>
          <w:rStyle w:val="VerbatimChar"/>
        </w:rPr>
        <w:t xml:space="preserve">kns.tre</w:t>
      </w:r>
      <w:r>
        <w:t xml:space="preserve">; для вывода наименований используются связанные меню</w:t>
      </w:r>
      <w:r>
        <w:t xml:space="preserve"> </w:t>
      </w:r>
      <w:r>
        <w:rPr>
          <w:rStyle w:val="VerbatimChar"/>
        </w:rPr>
        <w:t xml:space="preserve">kns.mnu</w:t>
      </w:r>
      <w:r>
        <w:t xml:space="preserve"> </w:t>
      </w:r>
      <w:r>
        <w:t xml:space="preserve">и</w:t>
      </w:r>
      <w:r>
        <w:t xml:space="preserve"> </w:t>
      </w:r>
      <w:r>
        <w:rPr>
          <w:rStyle w:val="VerbatimChar"/>
        </w:rPr>
        <w:t xml:space="preserve">rkns.mnu</w:t>
      </w:r>
      <w:r>
        <w:t xml:space="preserve">.</w:t>
      </w:r>
    </w:p>
    <w:p>
      <w:pPr>
        <w:pStyle w:val="BodyText"/>
      </w:pPr>
      <w:r>
        <w:t xml:space="preserve">Если организация размещает локальную копию этих справочников в каталоге конкретной БД, нужно обновлять согласованный набор файлов и сохранять имена в нижнем регистре. Это важно для одинаковой работы на Windows и Linux: файл из каталога БД перекрывает одноимённый общий файл из</w:t>
      </w:r>
      <w:r>
        <w:t xml:space="preserve"> </w:t>
      </w:r>
      <w:r>
        <w:rPr>
          <w:rStyle w:val="VerbatimChar"/>
        </w:rPr>
        <w:t xml:space="preserve">DATAI\deposit</w:t>
      </w:r>
      <w:r>
        <w:t xml:space="preserve">.</w:t>
      </w:r>
    </w:p>
    <w:bookmarkEnd w:id="73"/>
    <w:bookmarkStart w:id="74" w:name="поле-225-область-серии"/>
    <w:p>
      <w:pPr>
        <w:pStyle w:val="Heading4"/>
      </w:pPr>
      <w:r>
        <w:t xml:space="preserve">25. Поле 225: область серии</w:t>
      </w:r>
    </w:p>
    <w:p>
      <w:pPr>
        <w:pStyle w:val="FirstParagraph"/>
      </w:pPr>
      <w:r>
        <w:t xml:space="preserve">Поле</w:t>
      </w:r>
      <w:r>
        <w:t xml:space="preserve"> </w:t>
      </w:r>
      <w:r>
        <w:rPr>
          <w:rStyle w:val="VerbatimChar"/>
        </w:rPr>
        <w:t xml:space="preserve">225</w:t>
      </w:r>
      <w:r>
        <w:t xml:space="preserve"> </w:t>
      </w:r>
      <w:r>
        <w:t xml:space="preserve">содержит сведения о серии, подсерии и разделе подсерии: наименование, обозначение и номер выпуска, сведения к заглавию, сведения об ответственности, параллельные заглавия, язык параллельного заглавия, ISSN и признаки управления выводом.</w:t>
      </w:r>
    </w:p>
    <w:p>
      <w:pPr>
        <w:pStyle w:val="BodyText"/>
      </w:pPr>
      <w:r>
        <w:t xml:space="preserve">Если на том многотомника с частным заглавием вводится монографическое описание, в первом повторении поля</w:t>
      </w:r>
      <w:r>
        <w:t xml:space="preserve"> </w:t>
      </w:r>
      <w:r>
        <w:rPr>
          <w:rStyle w:val="VerbatimChar"/>
        </w:rPr>
        <w:t xml:space="preserve">225</w:t>
      </w:r>
      <w:r>
        <w:t xml:space="preserve"> </w:t>
      </w:r>
      <w:r>
        <w:t xml:space="preserve">вводятся сведения об общей части многотомного издания и номере тома. В других повторениях указываются серии, в которые входит многотомное издание в целом или отдельный описываемый том.</w:t>
      </w:r>
    </w:p>
    <w:p>
      <w:pPr>
        <w:pStyle w:val="BodyText"/>
      </w:pPr>
      <w:r>
        <w:t xml:space="preserve">Если на такой том вводится сводное описание, в</w:t>
      </w:r>
      <w:r>
        <w:t xml:space="preserve"> </w:t>
      </w:r>
      <w:r>
        <w:rPr>
          <w:rStyle w:val="VerbatimChar"/>
        </w:rPr>
        <w:t xml:space="preserve">225</w:t>
      </w:r>
      <w:r>
        <w:t xml:space="preserve"> </w:t>
      </w:r>
      <w:r>
        <w:t xml:space="preserve">вводятся только серии отдельного тома и номер тома в них. Заглавие общей части и серии издания в целом вводятся в поле</w:t>
      </w:r>
      <w:r>
        <w:t xml:space="preserve"> </w:t>
      </w:r>
      <w:r>
        <w:rPr>
          <w:rStyle w:val="VerbatimChar"/>
        </w:rPr>
        <w:t xml:space="preserve">461</w:t>
      </w:r>
      <w:r>
        <w:t xml:space="preserve">, а номер тома - в поле</w:t>
      </w:r>
      <w:r>
        <w:t xml:space="preserve"> </w:t>
      </w:r>
      <w:r>
        <w:rPr>
          <w:rStyle w:val="VerbatimChar"/>
        </w:rPr>
        <w:t xml:space="preserve">200</w:t>
      </w:r>
      <w:r>
        <w:t xml:space="preserve">.</w:t>
      </w:r>
    </w:p>
    <w:p>
      <w:pPr>
        <w:pStyle w:val="BodyText"/>
      </w:pPr>
      <w:r>
        <w:t xml:space="preserve">Сведения, относящиеся к заглавию серии, могут автоматически приводиться к строчной букве в соответствии с правилами ГОСТ. Если преобразование выполнять не нужно, используется признак</w:t>
      </w:r>
      <w:r>
        <w:t xml:space="preserve"> </w:t>
      </w:r>
      <w:r>
        <w:rPr>
          <w:rStyle w:val="VerbatimChar"/>
        </w:rPr>
        <w:t xml:space="preserve">Первый символ в сведениях к заглавию - прописная буква?</w:t>
      </w:r>
      <w:r>
        <w:t xml:space="preserve">.</w:t>
      </w:r>
    </w:p>
    <w:p>
      <w:pPr>
        <w:pStyle w:val="BodyText"/>
      </w:pPr>
      <w:r>
        <w:t xml:space="preserve">Наименование серии можно вводить из словаря. Оно включается вместе со сведениями об ответственности в словарь заглавий серий и в общий поисковый словарь заглавий, а отдельные слова - в словарь ключевых слов. Каталогизатор может указать, выводить ли сведения о серии и нужна ли добавочная карточка на серию.</w:t>
      </w:r>
    </w:p>
    <w:bookmarkEnd w:id="74"/>
    <w:bookmarkStart w:id="75" w:name="поле-510-параллельные-заглавия"/>
    <w:p>
      <w:pPr>
        <w:pStyle w:val="Heading4"/>
      </w:pPr>
      <w:r>
        <w:t xml:space="preserve">26. Поле 510: параллельные заглавия</w:t>
      </w:r>
    </w:p>
    <w:p>
      <w:pPr>
        <w:pStyle w:val="FirstParagraph"/>
      </w:pPr>
      <w:r>
        <w:t xml:space="preserve">Поле</w:t>
      </w:r>
      <w:r>
        <w:t xml:space="preserve"> </w:t>
      </w:r>
      <w:r>
        <w:rPr>
          <w:rStyle w:val="VerbatimChar"/>
        </w:rPr>
        <w:t xml:space="preserve">510</w:t>
      </w:r>
      <w:r>
        <w:t xml:space="preserve"> </w:t>
      </w:r>
      <w:r>
        <w:t xml:space="preserve">содержит заглавия на языках, отличных от языка основного заглавия, сведения к параллельному заглавию, сведения об ответственности, язык параллельного заглавия и признак необходимости добавочной карточки.</w:t>
      </w:r>
    </w:p>
    <w:p>
      <w:pPr>
        <w:pStyle w:val="BodyText"/>
      </w:pPr>
      <w:r>
        <w:t xml:space="preserve">Поле повторяется. Все параллельные заглавия включаются в словарь заглавий, отдельные слова - в словарь ключевых слов. По умолчанию на параллельные заглавия готовятся добавочные каталожные карточки.</w:t>
      </w:r>
    </w:p>
    <w:bookmarkEnd w:id="75"/>
    <w:bookmarkStart w:id="76" w:name="поле-517-разночтения-заглавий"/>
    <w:p>
      <w:pPr>
        <w:pStyle w:val="Heading4"/>
      </w:pPr>
      <w:r>
        <w:t xml:space="preserve">27. Поле 517: разночтения заглавий</w:t>
      </w:r>
    </w:p>
    <w:p>
      <w:pPr>
        <w:pStyle w:val="FirstParagraph"/>
      </w:pPr>
      <w:r>
        <w:t xml:space="preserve">Поле</w:t>
      </w:r>
      <w:r>
        <w:t xml:space="preserve"> </w:t>
      </w:r>
      <w:r>
        <w:rPr>
          <w:rStyle w:val="VerbatimChar"/>
        </w:rPr>
        <w:t xml:space="preserve">517</w:t>
      </w:r>
      <w:r>
        <w:t xml:space="preserve"> </w:t>
      </w:r>
      <w:r>
        <w:t xml:space="preserve">содержит другие варианты заглавия: заглавие на обложке, дополнительном титульном листе, корешке, колонтитуле, заглавие, составленное каталогизатором, а для электронного ресурса также второе заглавие на экране или заглавие на контейнере.</w:t>
      </w:r>
    </w:p>
    <w:p>
      <w:pPr>
        <w:pStyle w:val="BodyText"/>
      </w:pPr>
      <w:r>
        <w:t xml:space="preserve">Для разночтения указываются тип, сведения к заглавию и признаки управления выводом: показывать ли разночтение в библиографическом описании и нужна ли добавочная карточка. Разночтения включаются в словарь заглавий, отдельные слова - в словарь ключевых слов.</w:t>
      </w:r>
    </w:p>
    <w:bookmarkEnd w:id="76"/>
    <w:bookmarkStart w:id="77" w:name="поле-921-транслитерированное-заглавие"/>
    <w:p>
      <w:pPr>
        <w:pStyle w:val="Heading4"/>
      </w:pPr>
      <w:r>
        <w:t xml:space="preserve">28. Поле 921: транслитерированное заглавие</w:t>
      </w:r>
    </w:p>
    <w:p>
      <w:pPr>
        <w:pStyle w:val="FirstParagraph"/>
      </w:pPr>
      <w:r>
        <w:t xml:space="preserve">Поле</w:t>
      </w:r>
      <w:r>
        <w:t xml:space="preserve"> </w:t>
      </w:r>
      <w:r>
        <w:rPr>
          <w:rStyle w:val="VerbatimChar"/>
        </w:rPr>
        <w:t xml:space="preserve">921</w:t>
      </w:r>
      <w:r>
        <w:t xml:space="preserve"> </w:t>
      </w:r>
      <w:r>
        <w:t xml:space="preserve">используется для заглавия документа на языке нестандартной графики, приведённого в транслитерированном виде стандартной графикой, например кириллицей или латиницей.</w:t>
      </w:r>
    </w:p>
    <w:p>
      <w:pPr>
        <w:pStyle w:val="BodyText"/>
      </w:pPr>
      <w:r>
        <w:t xml:space="preserve">В поле указываются транслитерированное заглавие и язык источника транслитерации. При наличии транслитерированного заглавия нужно заполнить данные о графике заглавия в области кодированной информации.</w:t>
      </w:r>
    </w:p>
    <w:bookmarkEnd w:id="77"/>
    <w:bookmarkStart w:id="78" w:name="X0e22a1f4b41973fcd7aff50231c74a3ac57ccc1"/>
    <w:p>
      <w:pPr>
        <w:pStyle w:val="Heading4"/>
      </w:pPr>
      <w:r>
        <w:t xml:space="preserve">29. Поля 421 и 422: самостоятельное приложение и основной документ</w:t>
      </w:r>
    </w:p>
    <w:p>
      <w:pPr>
        <w:pStyle w:val="FirstParagraph"/>
      </w:pPr>
      <w:r>
        <w:t xml:space="preserve">Поле</w:t>
      </w:r>
      <w:r>
        <w:t xml:space="preserve"> </w:t>
      </w:r>
      <w:r>
        <w:rPr>
          <w:rStyle w:val="VerbatimChar"/>
        </w:rPr>
        <w:t xml:space="preserve">421</w:t>
      </w:r>
      <w:r>
        <w:t xml:space="preserve"> </w:t>
      </w:r>
      <w:r>
        <w:t xml:space="preserve">содержит отсылку от основного документа к самостоятельно хранящемуся приложению. В нём указываются заглавие приложения, год выхода, издательство, город, объём, ISSN или ISBN, идентификационный номер, издание публикации, физический носитель, примечание, шифр в БД и авторский знак.</w:t>
      </w:r>
    </w:p>
    <w:p>
      <w:pPr>
        <w:pStyle w:val="BodyText"/>
      </w:pPr>
      <w:r>
        <w:t xml:space="preserve">Поле</w:t>
      </w:r>
      <w:r>
        <w:t xml:space="preserve"> </w:t>
      </w:r>
      <w:r>
        <w:rPr>
          <w:rStyle w:val="VerbatimChar"/>
        </w:rPr>
        <w:t xml:space="preserve">422</w:t>
      </w:r>
      <w:r>
        <w:t xml:space="preserve"> </w:t>
      </w:r>
      <w:r>
        <w:t xml:space="preserve">используется в обратной ситуации: каталогизируется отдельно хранящееся приложение, а поле содержит отсылку к основному документу.</w:t>
      </w:r>
    </w:p>
    <w:p>
      <w:pPr>
        <w:pStyle w:val="BodyText"/>
      </w:pPr>
      <w:r>
        <w:t xml:space="preserve">Если сведения о приложении или основном документе уже есть в электронной базе, их можно получить из словаря по наименованию, идентификационному номеру или ISBN. Связанные документы можно быстро найти в режиме поиска по связи.</w:t>
      </w:r>
    </w:p>
    <w:bookmarkEnd w:id="78"/>
    <w:bookmarkStart w:id="79" w:name="Xd0201923c40823815810b9bdb5d6959d4dbb9f6"/>
    <w:p>
      <w:pPr>
        <w:pStyle w:val="Heading4"/>
      </w:pPr>
      <w:r>
        <w:t xml:space="preserve">30. Поле 454: оригинальное издание - источник перевода</w:t>
      </w:r>
    </w:p>
    <w:p>
      <w:pPr>
        <w:pStyle w:val="FirstParagraph"/>
      </w:pPr>
      <w:r>
        <w:t xml:space="preserve">Поле</w:t>
      </w:r>
      <w:r>
        <w:t xml:space="preserve"> </w:t>
      </w:r>
      <w:r>
        <w:rPr>
          <w:rStyle w:val="VerbatimChar"/>
        </w:rPr>
        <w:t xml:space="preserve">454</w:t>
      </w:r>
      <w:r>
        <w:t xml:space="preserve"> </w:t>
      </w:r>
      <w:r>
        <w:t xml:space="preserve">содержит структурированные сведения об издании, по которому сделано описываемое переводное издание: заглавие, сведения к заглавию, авторов, коллективы, выходные данные, сведения о переиздании, вид документа, источник публикации статьи, ISBN, ISSN и признаки карточек.</w:t>
      </w:r>
    </w:p>
    <w:p>
      <w:pPr>
        <w:pStyle w:val="BodyText"/>
      </w:pPr>
      <w:r>
        <w:t xml:space="preserve">Авторы и издательство могут вводиться через словари. Города можно выбирать через меню, включая несколько городов одного издательства. Заглавие источника перевода включается в словарь заглавий, отдельные слова - в словарь ключевых слов.</w:t>
      </w:r>
    </w:p>
    <w:p>
      <w:pPr>
        <w:pStyle w:val="BodyText"/>
      </w:pPr>
      <w:r>
        <w:t xml:space="preserve">Вид документа заполняется обязательно, потому что по нему формируются константы в форматах просмотра и каталожной карточки. Если каталогизируемый документ является переводом многотомного издания в целом, нужно указать признак</w:t>
      </w:r>
      <w:r>
        <w:t xml:space="preserve"> </w:t>
      </w:r>
      <w:r>
        <w:rPr>
          <w:rStyle w:val="VerbatimChar"/>
        </w:rPr>
        <w:t xml:space="preserve">Источник перевода - общая часть многотомника?</w:t>
      </w:r>
      <w:r>
        <w:t xml:space="preserve">, который определяет место вывода сведений об источнике перевода.</w:t>
      </w:r>
    </w:p>
    <w:bookmarkEnd w:id="79"/>
    <w:bookmarkStart w:id="80" w:name="поле-481-приплетённые-издания"/>
    <w:p>
      <w:pPr>
        <w:pStyle w:val="Heading4"/>
      </w:pPr>
      <w:r>
        <w:t xml:space="preserve">31. Поле 481: приплетённые издания</w:t>
      </w:r>
    </w:p>
    <w:p>
      <w:pPr>
        <w:pStyle w:val="FirstParagraph"/>
      </w:pPr>
      <w:r>
        <w:t xml:space="preserve">Поле</w:t>
      </w:r>
      <w:r>
        <w:t xml:space="preserve"> </w:t>
      </w:r>
      <w:r>
        <w:rPr>
          <w:rStyle w:val="VerbatimChar"/>
        </w:rPr>
        <w:t xml:space="preserve">481</w:t>
      </w:r>
      <w:r>
        <w:t xml:space="preserve"> </w:t>
      </w:r>
      <w:r>
        <w:t xml:space="preserve">содержит сведения об издании, вышедшем самостоятельно и позже объединённом с другими изданиями в одном переплёте. Поле повторяется: каждое повторение описывает одно приплетённое издание.</w:t>
      </w:r>
    </w:p>
    <w:p>
      <w:pPr>
        <w:pStyle w:val="BodyText"/>
      </w:pPr>
      <w:r>
        <w:t xml:space="preserve">При вводе применяются те же правила, что и для аналогичных элементов в основных полях: авторы вводятся через словарь или с клавиатуры, сведения об ответственности могут пополняться автоматически, издательство и города выбираются из словарей и меню, сведения об иллюстрациях вводятся через меню.</w:t>
      </w:r>
    </w:p>
    <w:p>
      <w:pPr>
        <w:pStyle w:val="BodyText"/>
      </w:pPr>
      <w:r>
        <w:t xml:space="preserve">Если каталогизируемый документ является томом многотомника, для приплетённого издания дополнительно указываются признаки общего заглавия многотомника, заглавие тома, признак нехарактерного заглавия тома, обозначение и номер тома. Если описание приплетённого издания уже есть в базе как самостоятельный документ, можно указать его шифр.</w:t>
      </w:r>
    </w:p>
    <w:p>
      <w:pPr>
        <w:pStyle w:val="BodyText"/>
      </w:pPr>
      <w:r>
        <w:t xml:space="preserve">Авторы, издательства, заглавия и ключевые слова из</w:t>
      </w:r>
      <w:r>
        <w:t xml:space="preserve"> </w:t>
      </w:r>
      <w:r>
        <w:rPr>
          <w:rStyle w:val="VerbatimChar"/>
        </w:rPr>
        <w:t xml:space="preserve">481</w:t>
      </w:r>
      <w:r>
        <w:t xml:space="preserve"> </w:t>
      </w:r>
      <w:r>
        <w:t xml:space="preserve">попадают в соответствующие поисковые словари. При необходимости можно создать аналитическое описание на аллигат; для этого в служебном поле</w:t>
      </w:r>
      <w:r>
        <w:t xml:space="preserve"> </w:t>
      </w:r>
      <w:r>
        <w:rPr>
          <w:rStyle w:val="VerbatimChar"/>
        </w:rPr>
        <w:t xml:space="preserve">932</w:t>
      </w:r>
      <w:r>
        <w:t xml:space="preserve"> </w:t>
      </w:r>
      <w:r>
        <w:t xml:space="preserve">указывается номер поля</w:t>
      </w:r>
      <w:r>
        <w:t xml:space="preserve"> </w:t>
      </w:r>
      <w:r>
        <w:rPr>
          <w:rStyle w:val="VerbatimChar"/>
        </w:rPr>
        <w:t xml:space="preserve">481</w:t>
      </w:r>
      <w:r>
        <w:t xml:space="preserve"> </w:t>
      </w:r>
      <w:r>
        <w:t xml:space="preserve">для копирования.</w:t>
      </w:r>
    </w:p>
    <w:bookmarkEnd w:id="80"/>
    <w:bookmarkStart w:id="81" w:name="поле-488-другие-связанные-издания"/>
    <w:p>
      <w:pPr>
        <w:pStyle w:val="Heading4"/>
      </w:pPr>
      <w:r>
        <w:t xml:space="preserve">32. Поле 488: другие связанные издания</w:t>
      </w:r>
    </w:p>
    <w:p>
      <w:pPr>
        <w:pStyle w:val="FirstParagraph"/>
      </w:pPr>
      <w:r>
        <w:t xml:space="preserve">Поле</w:t>
      </w:r>
      <w:r>
        <w:t xml:space="preserve"> </w:t>
      </w:r>
      <w:r>
        <w:rPr>
          <w:rStyle w:val="VerbatimChar"/>
        </w:rPr>
        <w:t xml:space="preserve">488</w:t>
      </w:r>
      <w:r>
        <w:t xml:space="preserve"> </w:t>
      </w:r>
      <w:r>
        <w:t xml:space="preserve">содержит сведения о других связанных изданиях и вид связи. По структуре оно близко к</w:t>
      </w:r>
      <w:r>
        <w:t xml:space="preserve"> </w:t>
      </w:r>
      <w:r>
        <w:rPr>
          <w:rStyle w:val="VerbatimChar"/>
        </w:rPr>
        <w:t xml:space="preserve">481</w:t>
      </w:r>
      <w:r>
        <w:t xml:space="preserve">, но дополнительно может указывать, выводить ли связь в область примечаний, конкретную страницу в связанном издании, имя базы данных и другие идентификаторы.</w:t>
      </w:r>
    </w:p>
    <w:p>
      <w:pPr>
        <w:pStyle w:val="BodyText"/>
      </w:pPr>
      <w:r>
        <w:t xml:space="preserve">Заглавие связанного издания может заимствоваться через словарь из текущей или настроенной базы электронного каталога. Авторы, сведения об ответственности, издательства, города, иллюстрации и объём вводятся по тем же правилам, что и в поле</w:t>
      </w:r>
      <w:r>
        <w:t xml:space="preserve"> </w:t>
      </w:r>
      <w:r>
        <w:rPr>
          <w:rStyle w:val="VerbatimChar"/>
        </w:rPr>
        <w:t xml:space="preserve">481</w:t>
      </w:r>
      <w:r>
        <w:t xml:space="preserve">.</w:t>
      </w:r>
    </w:p>
    <w:p>
      <w:pPr>
        <w:pStyle w:val="BodyText"/>
      </w:pPr>
      <w:r>
        <w:t xml:space="preserve">Авторы связанных изданий включаются в словарь авторов, издательства - в словарь издающих организаций, заглавия - в словарь заглавий, отдельные слова - в словарь ключевых слов.</w:t>
      </w:r>
    </w:p>
    <w:bookmarkEnd w:id="81"/>
    <w:bookmarkStart w:id="82" w:name="страница-рл-специфические"/>
    <w:p>
      <w:pPr>
        <w:pStyle w:val="Heading4"/>
      </w:pPr>
      <w:r>
        <w:t xml:space="preserve">33. Страница РЛ</w:t>
      </w:r>
      <w:r>
        <w:t xml:space="preserve"> </w:t>
      </w:r>
      <w:r>
        <w:rPr>
          <w:rStyle w:val="VerbatimChar"/>
        </w:rPr>
        <w:t xml:space="preserve">Специфические</w:t>
      </w:r>
    </w:p>
    <w:p>
      <w:pPr>
        <w:pStyle w:val="FirstParagraph"/>
      </w:pPr>
      <w:r>
        <w:t xml:space="preserve">Страница</w:t>
      </w:r>
      <w:r>
        <w:t xml:space="preserve"> </w:t>
      </w:r>
      <w:r>
        <w:rPr>
          <w:rStyle w:val="VerbatimChar"/>
        </w:rPr>
        <w:t xml:space="preserve">Специфические</w:t>
      </w:r>
      <w:r>
        <w:t xml:space="preserve"> </w:t>
      </w:r>
      <w:r>
        <w:t xml:space="preserve">содержит поля, которые применяются не для каждого библиографического описания, а для отдельных видов документов: электронных ресурсов, патентов и нормативно-технических документов, звукозаписей, нот, картографических материалов, кино-, видео- и микроформ.</w:t>
      </w:r>
    </w:p>
    <w:bookmarkEnd w:id="82"/>
    <w:bookmarkStart w:id="83" w:name="поле-230-сведения-об-электронном-ресурсе"/>
    <w:p>
      <w:pPr>
        <w:pStyle w:val="Heading4"/>
      </w:pPr>
      <w:r>
        <w:t xml:space="preserve">34. Поле 230: сведения об электронном ресурсе</w:t>
      </w:r>
    </w:p>
    <w:p>
      <w:pPr>
        <w:pStyle w:val="FirstParagraph"/>
      </w:pPr>
      <w:r>
        <w:t xml:space="preserve">Поле</w:t>
      </w:r>
      <w:r>
        <w:t xml:space="preserve"> </w:t>
      </w:r>
      <w:r>
        <w:rPr>
          <w:rStyle w:val="VerbatimChar"/>
        </w:rPr>
        <w:t xml:space="preserve">230</w:t>
      </w:r>
      <w:r>
        <w:t xml:space="preserve"> </w:t>
      </w:r>
      <w:r>
        <w:t xml:space="preserve">заполняется по сопроводительной этикетке электронного ресурса: магнитного, оптического или другого носителя. В нём указываются принадлежность ресурса к основному документу или приложению, вид и объём ресурса, наличие цвета и звука, системные требования и уточнение к ним.</w:t>
      </w:r>
    </w:p>
    <w:p>
      <w:pPr>
        <w:pStyle w:val="BodyText"/>
      </w:pPr>
      <w:r>
        <w:t xml:space="preserve">Поле повторяется по числу видов электронных ресурсов в документе. Вид и объём ресурса вводятся через справочник-меню, составленный по терминологии ГОСТ для электронных ресурсов. Наличие цвета и звука вводится через меню в форме, совместимой с требованиями ГОСТ и UNIMARC.</w:t>
      </w:r>
    </w:p>
    <w:p>
      <w:pPr>
        <w:pStyle w:val="BodyText"/>
      </w:pPr>
      <w:r>
        <w:t xml:space="preserve">Системные требования вводятся с использованием словаря базы данных. Этот словарь предназначен для ввода и корректуры, а не для поиска. Данные из словаря разделяются последовательностью</w:t>
      </w:r>
      <w:r>
        <w:t xml:space="preserve"> </w:t>
      </w:r>
      <w:r>
        <w:rPr>
          <w:rStyle w:val="VerbatimChar"/>
        </w:rPr>
        <w:t xml:space="preserve">;</w:t>
      </w:r>
      <w:r>
        <w:t xml:space="preserve">. При сохранении документа система формирует служебное поле</w:t>
      </w:r>
      <w:r>
        <w:t xml:space="preserve"> </w:t>
      </w:r>
      <w:r>
        <w:rPr>
          <w:rStyle w:val="VerbatimChar"/>
        </w:rPr>
        <w:t xml:space="preserve">239</w:t>
      </w:r>
      <w:r>
        <w:t xml:space="preserve">, где системные требования разделяются по повторениям и затем попадают в словарь для повторного использования.</w:t>
      </w:r>
    </w:p>
    <w:bookmarkEnd w:id="83"/>
    <w:bookmarkStart w:id="84" w:name="X0e606e5b40df660e11ac58780c011844914dbd9"/>
    <w:p>
      <w:pPr>
        <w:pStyle w:val="Heading4"/>
      </w:pPr>
      <w:r>
        <w:t xml:space="preserve">35. Поле 337: примечания к электронному ресурсу</w:t>
      </w:r>
    </w:p>
    <w:p>
      <w:pPr>
        <w:pStyle w:val="FirstParagraph"/>
      </w:pPr>
      <w:r>
        <w:t xml:space="preserve">Поле</w:t>
      </w:r>
      <w:r>
        <w:t xml:space="preserve"> </w:t>
      </w:r>
      <w:r>
        <w:rPr>
          <w:rStyle w:val="VerbatimChar"/>
        </w:rPr>
        <w:t xml:space="preserve">337</w:t>
      </w:r>
      <w:r>
        <w:t xml:space="preserve"> </w:t>
      </w:r>
      <w:r>
        <w:t xml:space="preserve">содержит источник основного заглавия, примечание о библиографической истории, примечание о датах и другие примечания к электронному ресурсу.</w:t>
      </w:r>
    </w:p>
    <w:p>
      <w:pPr>
        <w:pStyle w:val="BodyText"/>
      </w:pPr>
      <w:r>
        <w:t xml:space="preserve">Разделение на подполя нужно для подключения справочников. В коммуникативные форматы данные передаются в автоматически собранном виде; так же они вводятся в записях, принятых из коммуникативного формата.</w:t>
      </w:r>
    </w:p>
    <w:bookmarkEnd w:id="84"/>
    <w:bookmarkStart w:id="85" w:name="Xd52d7ea75ec35e0628f0819e494c31c600bcec1"/>
    <w:p>
      <w:pPr>
        <w:pStyle w:val="Heading4"/>
      </w:pPr>
      <w:r>
        <w:t xml:space="preserve">36. Поле 333: особенности распространения и использования</w:t>
      </w:r>
    </w:p>
    <w:p>
      <w:pPr>
        <w:pStyle w:val="FirstParagraph"/>
      </w:pPr>
      <w:r>
        <w:t xml:space="preserve">Поле</w:t>
      </w:r>
      <w:r>
        <w:t xml:space="preserve"> </w:t>
      </w:r>
      <w:r>
        <w:rPr>
          <w:rStyle w:val="VerbatimChar"/>
        </w:rPr>
        <w:t xml:space="preserve">333</w:t>
      </w:r>
      <w:r>
        <w:t xml:space="preserve"> </w:t>
      </w:r>
      <w:r>
        <w:t xml:space="preserve">применяется для примечаний об особенностях распространения и использования документа. Его заполняют, когда для документа нужно зафиксировать ограничения, специальный порядок распространения, служебную пометку или другой признак, влияющий на показ, отбор или дальнейшую обработку записи.</w:t>
      </w:r>
    </w:p>
    <w:p>
      <w:pPr>
        <w:pStyle w:val="BodyText"/>
      </w:pPr>
      <w:r>
        <w:t xml:space="preserve">Для материалов, связанных с лицами, находящимися под иностранным влиянием, поле</w:t>
      </w:r>
      <w:r>
        <w:t xml:space="preserve"> </w:t>
      </w:r>
      <w:r>
        <w:rPr>
          <w:rStyle w:val="VerbatimChar"/>
        </w:rPr>
        <w:t xml:space="preserve">333</w:t>
      </w:r>
      <w:r>
        <w:t xml:space="preserve"> </w:t>
      </w:r>
      <w:r>
        <w:t xml:space="preserve">используют по принятой в организации методике. В типовой поставке авторитетная база индивидуальных авторов</w:t>
      </w:r>
      <w:r>
        <w:t xml:space="preserve"> </w:t>
      </w:r>
      <w:r>
        <w:rPr>
          <w:rStyle w:val="VerbatimChar"/>
        </w:rPr>
        <w:t xml:space="preserve">ATHRA</w:t>
      </w:r>
      <w:r>
        <w:t xml:space="preserve"> </w:t>
      </w:r>
      <w:r>
        <w:t xml:space="preserve">дополнительно поддерживает структурированный признак иностранного агента и формирует по нему поисковый термин с префиксом</w:t>
      </w:r>
      <w:r>
        <w:t xml:space="preserve"> </w:t>
      </w:r>
      <w:r>
        <w:rPr>
          <w:rStyle w:val="VerbatimChar"/>
        </w:rPr>
        <w:t xml:space="preserve">INO=</w:t>
      </w:r>
      <w:r>
        <w:t xml:space="preserve">. Поэтому перед ручным вводом сведений в библиографическую запись нужно проверить, есть ли связанная авторитетная запись автора и заполнен ли в ней соответствующий признак.</w:t>
      </w:r>
    </w:p>
    <w:p>
      <w:pPr>
        <w:pStyle w:val="BodyText"/>
      </w:pPr>
      <w:r>
        <w:t xml:space="preserve">Если признак вводится непосредственно в библиографической записи, он должен быть согласован с данными полей ответственности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 и с локальными подполями поля</w:t>
      </w:r>
      <w:r>
        <w:t xml:space="preserve"> </w:t>
      </w:r>
      <w:r>
        <w:rPr>
          <w:rStyle w:val="VerbatimChar"/>
        </w:rPr>
        <w:t xml:space="preserve">900</w:t>
      </w:r>
      <w:r>
        <w:t xml:space="preserve">, если такие подполя включены в рабочий лист. Не дублируйте один и тот же признак разными способами без локального правила: это может привести к расхождению между просмотром записи, поисковым отбором и выгрузкой в коммуникативные форматы.</w:t>
      </w:r>
    </w:p>
    <w:bookmarkEnd w:id="85"/>
    <w:bookmarkStart w:id="86" w:name="поле-135-коды-электронного-ресурса"/>
    <w:p>
      <w:pPr>
        <w:pStyle w:val="Heading4"/>
      </w:pPr>
      <w:r>
        <w:t xml:space="preserve">37. Поле 135: коды электронного ресурса</w:t>
      </w:r>
    </w:p>
    <w:p>
      <w:pPr>
        <w:pStyle w:val="FirstParagraph"/>
      </w:pPr>
      <w:r>
        <w:t xml:space="preserve">Поле</w:t>
      </w:r>
      <w:r>
        <w:t xml:space="preserve"> </w:t>
      </w:r>
      <w:r>
        <w:rPr>
          <w:rStyle w:val="VerbatimChar"/>
        </w:rPr>
        <w:t xml:space="preserve">135</w:t>
      </w:r>
      <w:r>
        <w:t xml:space="preserve"> </w:t>
      </w:r>
      <w:r>
        <w:t xml:space="preserve">содержит коды электронного ресурса, не включённые в основное поле</w:t>
      </w:r>
      <w:r>
        <w:t xml:space="preserve"> </w:t>
      </w:r>
      <w:r>
        <w:rPr>
          <w:rStyle w:val="VerbatimChar"/>
        </w:rPr>
        <w:t xml:space="preserve">230</w:t>
      </w:r>
      <w:r>
        <w:t xml:space="preserve">, прежде всего тип файла и принадлежность к основному документу или приложению.</w:t>
      </w:r>
    </w:p>
    <w:bookmarkEnd w:id="86"/>
    <w:bookmarkStart w:id="87" w:name="X0a298d62e6566845ec77bd8800bd6a87bf6d08a"/>
    <w:p>
      <w:pPr>
        <w:pStyle w:val="Heading4"/>
      </w:pPr>
      <w:r>
        <w:t xml:space="preserve">38. Поле 982: патенты, отчёты о НИР, НТД и юридические документы</w:t>
      </w:r>
    </w:p>
    <w:p>
      <w:pPr>
        <w:pStyle w:val="FirstParagraph"/>
      </w:pPr>
      <w:r>
        <w:t xml:space="preserve">Поле</w:t>
      </w:r>
      <w:r>
        <w:t xml:space="preserve"> </w:t>
      </w:r>
      <w:r>
        <w:rPr>
          <w:rStyle w:val="VerbatimChar"/>
        </w:rPr>
        <w:t xml:space="preserve">982</w:t>
      </w:r>
      <w:r>
        <w:t xml:space="preserve"> </w:t>
      </w:r>
      <w:r>
        <w:t xml:space="preserve">применяется при описании книг, многотомников и аналитических записей патентных, директивных и нормативно-технических документов. Поле повторяется.</w:t>
      </w:r>
    </w:p>
    <w:p>
      <w:pPr>
        <w:pStyle w:val="BodyText"/>
      </w:pPr>
      <w:r>
        <w:t xml:space="preserve">Для отчётов о НИР вводятся номер темы, номер этапа или части, номер задания, номер государственной регистрации и инвентарный номер ВНТИЦентра.</w:t>
      </w:r>
    </w:p>
    <w:p>
      <w:pPr>
        <w:pStyle w:val="BodyText"/>
      </w:pPr>
      <w:r>
        <w:t xml:space="preserve">Для патентов и других охранных документов вводятся вид патентного документа, номер, страна или международная организация, классификация изобретений, индексы, регистрационные данные заявки, даты подачи и публикации, место публикации и сведения о конвенционном приоритете.</w:t>
      </w:r>
    </w:p>
    <w:p>
      <w:pPr>
        <w:pStyle w:val="BodyText"/>
      </w:pPr>
      <w:r>
        <w:t xml:space="preserve">Для нормативно-технических и юридических документов вводятся вид документа, номер, сведения о заменяемом документе, дата введения и срок действия.</w:t>
      </w:r>
    </w:p>
    <w:p>
      <w:pPr>
        <w:pStyle w:val="BodyText"/>
      </w:pPr>
      <w:r>
        <w:t xml:space="preserve">Для патентных и нормативно-технических документов из вида и номера автоматически формируется шифр документа в БД. По умолчанию сведения выводятся в области заголовка описания; при необходимости их можно вывести в область сведений к заглавию через соответствующий признак роли.</w:t>
      </w:r>
    </w:p>
    <w:bookmarkEnd w:id="87"/>
    <w:bookmarkStart w:id="88" w:name="Xb30f1c2ccaf58f0c8aabae5f8ab18b9de01d22c"/>
    <w:p>
      <w:pPr>
        <w:pStyle w:val="Heading4"/>
      </w:pPr>
      <w:r>
        <w:t xml:space="preserve">39. Поля 125 и 36: звукозаписи, нотные издания и нотный инципит</w:t>
      </w:r>
    </w:p>
    <w:p>
      <w:pPr>
        <w:pStyle w:val="FirstParagraph"/>
      </w:pPr>
      <w:r>
        <w:t xml:space="preserve">Поле</w:t>
      </w:r>
      <w:r>
        <w:t xml:space="preserve"> </w:t>
      </w:r>
      <w:r>
        <w:rPr>
          <w:rStyle w:val="VerbatimChar"/>
        </w:rPr>
        <w:t xml:space="preserve">125</w:t>
      </w:r>
      <w:r>
        <w:t xml:space="preserve"> </w:t>
      </w:r>
      <w:r>
        <w:t xml:space="preserve">содержит данные о музыкальном или звуковом произведении в целом: принадлежность к основному документу или приложению, продолжительность, характеристики воспроизведения, партитуру, музыкальную форму, жанр, инструменты и голоса, тональность, обозначение номера произведения, признак аранжировки и сведения о форме изложения нотного текста.</w:t>
      </w:r>
    </w:p>
    <w:p>
      <w:pPr>
        <w:pStyle w:val="BodyText"/>
      </w:pPr>
      <w:r>
        <w:t xml:space="preserve">Кодированные данные в</w:t>
      </w:r>
      <w:r>
        <w:t xml:space="preserve"> </w:t>
      </w:r>
      <w:r>
        <w:rPr>
          <w:rStyle w:val="VerbatimChar"/>
        </w:rPr>
        <w:t xml:space="preserve">125</w:t>
      </w:r>
      <w:r>
        <w:t xml:space="preserve"> </w:t>
      </w:r>
      <w:r>
        <w:t xml:space="preserve">представлены так, чтобы их можно было выводить в форматах просмотра в виде текстовых пояснений.</w:t>
      </w:r>
    </w:p>
    <w:p>
      <w:pPr>
        <w:pStyle w:val="BodyText"/>
      </w:pPr>
      <w:r>
        <w:t xml:space="preserve">Поле</w:t>
      </w:r>
      <w:r>
        <w:t xml:space="preserve"> </w:t>
      </w:r>
      <w:r>
        <w:rPr>
          <w:rStyle w:val="VerbatimChar"/>
        </w:rPr>
        <w:t xml:space="preserve">36</w:t>
      </w:r>
      <w:r>
        <w:t xml:space="preserve"> </w:t>
      </w:r>
      <w:r>
        <w:t xml:space="preserve">используется для нотного инципита: первых нот выбранного фрагмента. Оно применяется для фондов нотной литературы, когда нужно идентифицировать музыкальное произведение, представить несколько фрагментов или связать кодированное описание фрагмента с цифровым изображением.</w:t>
      </w:r>
    </w:p>
    <w:p>
      <w:pPr>
        <w:pStyle w:val="BodyText"/>
      </w:pPr>
      <w:r>
        <w:t xml:space="preserve">Кодированная запись инципита вводится в словарь. Для различения строчных и прописных букв в словарных терминах могут использоваться специальные суффиксы и разметка. Цифровое изображение нотного фрагмента может быть связано с полем</w:t>
      </w:r>
      <w:r>
        <w:t xml:space="preserve"> </w:t>
      </w:r>
      <w:r>
        <w:rPr>
          <w:rStyle w:val="VerbatimChar"/>
        </w:rPr>
        <w:t xml:space="preserve">36</w:t>
      </w:r>
      <w:r>
        <w:t xml:space="preserve"> </w:t>
      </w:r>
      <w:r>
        <w:t xml:space="preserve">через внутренний ресурс в поле</w:t>
      </w:r>
      <w:r>
        <w:t xml:space="preserve"> </w:t>
      </w:r>
      <w:r>
        <w:rPr>
          <w:rStyle w:val="VerbatimChar"/>
        </w:rPr>
        <w:t xml:space="preserve">953</w:t>
      </w:r>
      <w:r>
        <w:t xml:space="preserve">; внешние файлы включаются в просмотр в общем порядке.</w:t>
      </w:r>
    </w:p>
    <w:bookmarkEnd w:id="88"/>
    <w:bookmarkStart w:id="89" w:name="X76f2adf5a1d4f644c349e3d5cf4c8790d9fcaad"/>
    <w:p>
      <w:pPr>
        <w:pStyle w:val="Heading4"/>
      </w:pPr>
      <w:r>
        <w:t xml:space="preserve">40. Поле 509: заголовок картографической записи</w:t>
      </w:r>
    </w:p>
    <w:p>
      <w:pPr>
        <w:pStyle w:val="FirstParagraph"/>
      </w:pPr>
      <w:r>
        <w:t xml:space="preserve">Поле</w:t>
      </w:r>
      <w:r>
        <w:t xml:space="preserve"> </w:t>
      </w:r>
      <w:r>
        <w:rPr>
          <w:rStyle w:val="VerbatimChar"/>
        </w:rPr>
        <w:t xml:space="preserve">509</w:t>
      </w:r>
      <w:r>
        <w:t xml:space="preserve"> </w:t>
      </w:r>
      <w:r>
        <w:t xml:space="preserve">предназначено для детального описания картографического материала. В нём указываются тип наименования, индикатор заголовка, географическое или тематическое наименование, структурное подразделение, уточняющие признаки, даты, географические термины, вид издания, масштаб и номер авторитетной записи.</w:t>
      </w:r>
    </w:p>
    <w:p>
      <w:pPr>
        <w:pStyle w:val="BodyText"/>
      </w:pPr>
      <w:r>
        <w:t xml:space="preserve">Краткое описание картографического материала вводится в поле</w:t>
      </w:r>
      <w:r>
        <w:t xml:space="preserve"> </w:t>
      </w:r>
      <w:r>
        <w:rPr>
          <w:rStyle w:val="VerbatimChar"/>
        </w:rPr>
        <w:t xml:space="preserve">123</w:t>
      </w:r>
      <w:r>
        <w:t xml:space="preserve">.</w:t>
      </w:r>
    </w:p>
    <w:bookmarkEnd w:id="89"/>
    <w:bookmarkStart w:id="90" w:name="поля-физических-характеристик"/>
    <w:p>
      <w:pPr>
        <w:pStyle w:val="Heading4"/>
      </w:pPr>
      <w:r>
        <w:t xml:space="preserve">41. Поля физических характеристик</w:t>
      </w:r>
    </w:p>
    <w:p>
      <w:pPr>
        <w:pStyle w:val="FirstParagraph"/>
      </w:pPr>
      <w:r>
        <w:t xml:space="preserve">Поля физических характеристик заполняются через вложенные рабочие листы и меню. Поля могут повторяться для основного документа и приложения; при заполнении нужно указывать, к чему относятся данные.</w:t>
      </w:r>
    </w:p>
    <w:p>
      <w:pPr>
        <w:pStyle w:val="BodyText"/>
      </w:pPr>
      <w:r>
        <w:t xml:space="preserve">Поле</w:t>
      </w:r>
      <w:r>
        <w:t xml:space="preserve"> </w:t>
      </w:r>
      <w:r>
        <w:rPr>
          <w:rStyle w:val="VerbatimChar"/>
        </w:rPr>
        <w:t xml:space="preserve">916</w:t>
      </w:r>
      <w:r>
        <w:t xml:space="preserve"> </w:t>
      </w:r>
      <w:r>
        <w:t xml:space="preserve">описывает кинофильм: продолжительность, скорость, цвет, звук, звуковой носитель, размер плёнки, форму проката, технику, формат представления, вид звука и полноту.</w:t>
      </w:r>
    </w:p>
    <w:p>
      <w:pPr>
        <w:pStyle w:val="BodyText"/>
      </w:pPr>
      <w:r>
        <w:t xml:space="preserve">Поле</w:t>
      </w:r>
      <w:r>
        <w:t xml:space="preserve"> </w:t>
      </w:r>
      <w:r>
        <w:rPr>
          <w:rStyle w:val="VerbatimChar"/>
        </w:rPr>
        <w:t xml:space="preserve">915</w:t>
      </w:r>
      <w:r>
        <w:t xml:space="preserve"> </w:t>
      </w:r>
      <w:r>
        <w:t xml:space="preserve">описывает визуально-проекционный материал: длину, цвет, ширину плёнки, форму проката, материалы эмульсии и вторичной основы.</w:t>
      </w:r>
    </w:p>
    <w:p>
      <w:pPr>
        <w:pStyle w:val="BodyText"/>
      </w:pPr>
      <w:r>
        <w:t xml:space="preserve">Поле</w:t>
      </w:r>
      <w:r>
        <w:t xml:space="preserve"> </w:t>
      </w:r>
      <w:r>
        <w:rPr>
          <w:rStyle w:val="VerbatimChar"/>
        </w:rPr>
        <w:t xml:space="preserve">115</w:t>
      </w:r>
      <w:r>
        <w:t xml:space="preserve"> </w:t>
      </w:r>
      <w:r>
        <w:t xml:space="preserve">описывает видеозапись: длину, цвет, звук, звуковой носитель, размер видеокассетной ленты, технику, форму проката, формат представления и стандарт трансляции.</w:t>
      </w:r>
    </w:p>
    <w:p>
      <w:pPr>
        <w:pStyle w:val="BodyText"/>
      </w:pPr>
      <w:r>
        <w:t xml:space="preserve">Поле</w:t>
      </w:r>
      <w:r>
        <w:t xml:space="preserve"> </w:t>
      </w:r>
      <w:r>
        <w:rPr>
          <w:rStyle w:val="VerbatimChar"/>
        </w:rPr>
        <w:t xml:space="preserve">123</w:t>
      </w:r>
      <w:r>
        <w:t xml:space="preserve"> </w:t>
      </w:r>
      <w:r>
        <w:t xml:space="preserve">описывает картографический материал: форму, цвет, наличие повествовательного текста, масштаб, указатель и примечание.</w:t>
      </w:r>
    </w:p>
    <w:p>
      <w:pPr>
        <w:pStyle w:val="BodyText"/>
      </w:pPr>
      <w:r>
        <w:t xml:space="preserve">Поле</w:t>
      </w:r>
      <w:r>
        <w:t xml:space="preserve"> </w:t>
      </w:r>
      <w:r>
        <w:rPr>
          <w:rStyle w:val="VerbatimChar"/>
        </w:rPr>
        <w:t xml:space="preserve">126</w:t>
      </w:r>
      <w:r>
        <w:t xml:space="preserve"> </w:t>
      </w:r>
      <w:r>
        <w:t xml:space="preserve">описывает звукозапись: вид носителя, длину, скорость, вид звука, размеры носителя, технику записи, сопроводительный текст, характеристику воспроизведения, языки звукового сопровождения и субтитров.</w:t>
      </w:r>
    </w:p>
    <w:p>
      <w:pPr>
        <w:pStyle w:val="BodyText"/>
      </w:pPr>
      <w:r>
        <w:t xml:space="preserve">Поле</w:t>
      </w:r>
      <w:r>
        <w:t xml:space="preserve"> </w:t>
      </w:r>
      <w:r>
        <w:rPr>
          <w:rStyle w:val="VerbatimChar"/>
        </w:rPr>
        <w:t xml:space="preserve">130</w:t>
      </w:r>
      <w:r>
        <w:t xml:space="preserve"> </w:t>
      </w:r>
      <w:r>
        <w:t xml:space="preserve">описывает микроформу: вид, полярность, размеры, масштаб и его особенности, цвет, эмульсию, основу плёнки и генерацию.</w:t>
      </w:r>
    </w:p>
    <w:p>
      <w:pPr>
        <w:pStyle w:val="BodyText"/>
      </w:pPr>
      <w:r>
        <w:t xml:space="preserve">Поле</w:t>
      </w:r>
      <w:r>
        <w:t xml:space="preserve"> </w:t>
      </w:r>
      <w:r>
        <w:rPr>
          <w:rStyle w:val="VerbatimChar"/>
        </w:rPr>
        <w:t xml:space="preserve">106</w:t>
      </w:r>
      <w:r>
        <w:t xml:space="preserve"> </w:t>
      </w:r>
      <w:r>
        <w:t xml:space="preserve">описывает нетрадиционный бумажный носитель, например Брайль или минипечать.</w:t>
      </w:r>
    </w:p>
    <w:bookmarkEnd w:id="90"/>
    <w:bookmarkStart w:id="91" w:name="страница-рл-экземпляры"/>
    <w:p>
      <w:pPr>
        <w:pStyle w:val="Heading4"/>
      </w:pPr>
      <w:r>
        <w:t xml:space="preserve">42. Страница РЛ</w:t>
      </w:r>
      <w:r>
        <w:t xml:space="preserve"> </w:t>
      </w:r>
      <w:r>
        <w:rPr>
          <w:rStyle w:val="VerbatimChar"/>
        </w:rPr>
        <w:t xml:space="preserve">Экземпляры</w:t>
      </w:r>
    </w:p>
    <w:p>
      <w:pPr>
        <w:pStyle w:val="FirstParagraph"/>
      </w:pPr>
      <w:r>
        <w:t xml:space="preserve">Страница</w:t>
      </w:r>
      <w:r>
        <w:t xml:space="preserve"> </w:t>
      </w:r>
      <w:r>
        <w:rPr>
          <w:rStyle w:val="VerbatimChar"/>
        </w:rPr>
        <w:t xml:space="preserve">Экземпляры</w:t>
      </w:r>
      <w:r>
        <w:t xml:space="preserve"> </w:t>
      </w:r>
      <w:r>
        <w:t xml:space="preserve">содержит сведения о конкретных экземплярах, группах экземпляров и фондовых операциях. Основное поле страницы -</w:t>
      </w:r>
      <w:r>
        <w:t xml:space="preserve"> </w:t>
      </w:r>
      <w:r>
        <w:rPr>
          <w:rStyle w:val="VerbatimChar"/>
        </w:rPr>
        <w:t xml:space="preserve">910</w:t>
      </w:r>
      <w:r>
        <w:t xml:space="preserve">.</w:t>
      </w:r>
    </w:p>
    <w:bookmarkEnd w:id="91"/>
    <w:bookmarkStart w:id="92" w:name="поле-910-сведения-об-экземплярах"/>
    <w:p>
      <w:pPr>
        <w:pStyle w:val="Heading4"/>
      </w:pPr>
      <w:r>
        <w:t xml:space="preserve">43. Поле 910: сведения об экземплярах</w:t>
      </w:r>
    </w:p>
    <w:p>
      <w:pPr>
        <w:pStyle w:val="FirstParagraph"/>
      </w:pPr>
      <w:r>
        <w:t xml:space="preserve">Поле</w:t>
      </w:r>
      <w:r>
        <w:t xml:space="preserve"> </w:t>
      </w:r>
      <w:r>
        <w:rPr>
          <w:rStyle w:val="VerbatimChar"/>
        </w:rPr>
        <w:t xml:space="preserve">910</w:t>
      </w:r>
      <w:r>
        <w:t xml:space="preserve"> </w:t>
      </w:r>
      <w:r>
        <w:t xml:space="preserve">повторяется. Каждое повторение описывает:</w:t>
      </w:r>
    </w:p>
    <w:p>
      <w:pPr>
        <w:pStyle w:val="Compact"/>
        <w:numPr>
          <w:ilvl w:val="0"/>
          <w:numId w:val="1020"/>
        </w:numPr>
      </w:pPr>
      <w:r>
        <w:t xml:space="preserve">один экземпляр издания, хранящийся в одном подразделении по системе индивидуального учёта или заказанный для него;</w:t>
      </w:r>
    </w:p>
    <w:p>
      <w:pPr>
        <w:pStyle w:val="Compact"/>
        <w:numPr>
          <w:ilvl w:val="0"/>
          <w:numId w:val="1020"/>
        </w:numPr>
      </w:pPr>
      <w:r>
        <w:t xml:space="preserve">группу экземпляров безынвентарного учёта, например учебников в вузовской библиотеке;</w:t>
      </w:r>
    </w:p>
    <w:p>
      <w:pPr>
        <w:pStyle w:val="Compact"/>
        <w:numPr>
          <w:ilvl w:val="0"/>
          <w:numId w:val="1020"/>
        </w:numPr>
      </w:pPr>
      <w:r>
        <w:t xml:space="preserve">группу экземпляров, направленных в библиотеку централизованной библиотечной системы.</w:t>
      </w:r>
    </w:p>
    <w:p>
      <w:pPr>
        <w:pStyle w:val="FirstParagraph"/>
      </w:pPr>
      <w:r>
        <w:t xml:space="preserve">В поле вводятся статус, инвентарный номер, дата поступления, место хранения, коллекция, расстановочный шифр, цена, штрих-код или радиометка, канал поступления, идентификатор партии, признак</w:t>
      </w:r>
      <w:r>
        <w:t xml:space="preserve"> </w:t>
      </w:r>
      <w:r>
        <w:rPr>
          <w:rStyle w:val="VerbatimChar"/>
        </w:rPr>
        <w:t xml:space="preserve">не на баланс</w:t>
      </w:r>
      <w:r>
        <w:t xml:space="preserve">, данные списания, данные проверки фонда и сведения для книгообеспеченности.</w:t>
      </w:r>
    </w:p>
    <w:bookmarkEnd w:id="92"/>
    <w:bookmarkStart w:id="93" w:name="статусы-экземпляров"/>
    <w:p>
      <w:pPr>
        <w:pStyle w:val="Heading4"/>
      </w:pPr>
      <w:r>
        <w:t xml:space="preserve">44. Статусы экземпляров</w:t>
      </w:r>
    </w:p>
    <w:p>
      <w:pPr>
        <w:pStyle w:val="FirstParagraph"/>
      </w:pPr>
      <w:r>
        <w:t xml:space="preserve">Статус вводится через меню и обязателен для заказанного или полученного экземпляра, кроме специального технологического случая со статусом</w:t>
      </w:r>
      <w:r>
        <w:t xml:space="preserve"> </w:t>
      </w:r>
      <w:r>
        <w:rPr>
          <w:rStyle w:val="VerbatimChar"/>
        </w:rPr>
        <w:t xml:space="preserve">R</w:t>
      </w:r>
      <w:r>
        <w:t xml:space="preserve">.</w:t>
      </w:r>
    </w:p>
    <w:p>
      <w:pPr>
        <w:pStyle w:val="BodyText"/>
      </w:pPr>
      <w:r>
        <w:t xml:space="preserve">Для индивидуального учёта используются обычные статусы экземпляра. Статус</w:t>
      </w:r>
      <w:r>
        <w:t xml:space="preserve"> </w:t>
      </w:r>
      <w:r>
        <w:rPr>
          <w:rStyle w:val="VerbatimChar"/>
        </w:rPr>
        <w:t xml:space="preserve">0</w:t>
      </w:r>
      <w:r>
        <w:t xml:space="preserve"> </w:t>
      </w:r>
      <w:r>
        <w:t xml:space="preserve">означает, что экземпляр получен, свободен и может быть выдан читателю. Статус</w:t>
      </w:r>
      <w:r>
        <w:t xml:space="preserve"> </w:t>
      </w:r>
      <w:r>
        <w:rPr>
          <w:rStyle w:val="VerbatimChar"/>
        </w:rPr>
        <w:t xml:space="preserve">2</w:t>
      </w:r>
      <w:r>
        <w:t xml:space="preserve"> </w:t>
      </w:r>
      <w:r>
        <w:t xml:space="preserve">означает заказанный экземпляр, который ещё не поступил. Статусы</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w:t>
      </w:r>
      <w:r>
        <w:t xml:space="preserve"> </w:t>
      </w:r>
      <w:r>
        <w:rPr>
          <w:rStyle w:val="VerbatimChar"/>
        </w:rPr>
        <w:t xml:space="preserve">6</w:t>
      </w:r>
      <w:r>
        <w:t xml:space="preserve">,</w:t>
      </w:r>
      <w:r>
        <w:t xml:space="preserve"> </w:t>
      </w:r>
      <w:r>
        <w:rPr>
          <w:rStyle w:val="VerbatimChar"/>
        </w:rPr>
        <w:t xml:space="preserve">8</w:t>
      </w:r>
      <w:r>
        <w:t xml:space="preserve">,</w:t>
      </w:r>
      <w:r>
        <w:t xml:space="preserve"> </w:t>
      </w:r>
      <w:r>
        <w:rPr>
          <w:rStyle w:val="VerbatimChar"/>
        </w:rPr>
        <w:t xml:space="preserve">9</w:t>
      </w:r>
      <w:r>
        <w:t xml:space="preserve"> </w:t>
      </w:r>
      <w:r>
        <w:t xml:space="preserve">описывают экземпляры, которые не могут быть выданы читателю, например находятся в переплёте, утеряны, списаны, не дошли до места хранения или находятся на бронеполке.</w:t>
      </w:r>
    </w:p>
    <w:p>
      <w:pPr>
        <w:pStyle w:val="BodyText"/>
      </w:pPr>
      <w:r>
        <w:t xml:space="preserve">Статусы</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4</w:t>
      </w:r>
      <w:r>
        <w:t xml:space="preserve"> </w:t>
      </w:r>
      <w:r>
        <w:t xml:space="preserve">и</w:t>
      </w:r>
      <w:r>
        <w:t xml:space="preserve"> </w:t>
      </w:r>
      <w:r>
        <w:rPr>
          <w:rStyle w:val="VerbatimChar"/>
        </w:rPr>
        <w:t xml:space="preserve">9</w:t>
      </w:r>
      <w:r>
        <w:t xml:space="preserve"> </w:t>
      </w:r>
      <w:r>
        <w:t xml:space="preserve">могут корректироваться системой в процессе книговыдачи.</w:t>
      </w:r>
    </w:p>
    <w:p>
      <w:pPr>
        <w:pStyle w:val="BodyText"/>
      </w:pPr>
      <w:r>
        <w:t xml:space="preserve">Статус</w:t>
      </w:r>
      <w:r>
        <w:t xml:space="preserve"> </w:t>
      </w:r>
      <w:r>
        <w:rPr>
          <w:rStyle w:val="VerbatimChar"/>
        </w:rPr>
        <w:t xml:space="preserve">C</w:t>
      </w:r>
      <w:r>
        <w:t xml:space="preserve"> </w:t>
      </w:r>
      <w:r>
        <w:t xml:space="preserve">используется для группы экземпляров отдельной библиотеки ЦБС. В центральном электронном каталоге такая группа отражается общим числом и не выдаётся читателю; в каталогах библиотек сети экземпляры могут быть представлены индивидуально.</w:t>
      </w:r>
    </w:p>
    <w:p>
      <w:pPr>
        <w:pStyle w:val="BodyText"/>
      </w:pPr>
      <w:r>
        <w:t xml:space="preserve">Статус</w:t>
      </w:r>
      <w:r>
        <w:t xml:space="preserve"> </w:t>
      </w:r>
      <w:r>
        <w:rPr>
          <w:rStyle w:val="VerbatimChar"/>
        </w:rPr>
        <w:t xml:space="preserve">U</w:t>
      </w:r>
      <w:r>
        <w:t xml:space="preserve"> </w:t>
      </w:r>
      <w:r>
        <w:t xml:space="preserve">используется для группы экземпляров безынвентарного учёта. В электронном каталоге они отражаются общим числом, а выдача выполняется при наличии свободных экземпляров без фиксации конкретного инвентарного номера.</w:t>
      </w:r>
    </w:p>
    <w:p>
      <w:pPr>
        <w:pStyle w:val="BodyText"/>
      </w:pPr>
      <w:r>
        <w:t xml:space="preserve">При централизованном комплектовании записи со статусом</w:t>
      </w:r>
      <w:r>
        <w:t xml:space="preserve"> </w:t>
      </w:r>
      <w:r>
        <w:rPr>
          <w:rStyle w:val="VerbatimChar"/>
        </w:rPr>
        <w:t xml:space="preserve">C</w:t>
      </w:r>
      <w:r>
        <w:t xml:space="preserve"> </w:t>
      </w:r>
      <w:r>
        <w:t xml:space="preserve">могут передаваться в каталоги филиалов или библиотек сети. Затем глобальной корректировкой статус преобразуется в</w:t>
      </w:r>
      <w:r>
        <w:t xml:space="preserve"> </w:t>
      </w:r>
      <w:r>
        <w:rPr>
          <w:rStyle w:val="VerbatimChar"/>
        </w:rPr>
        <w:t xml:space="preserve">0</w:t>
      </w:r>
      <w:r>
        <w:t xml:space="preserve"> </w:t>
      </w:r>
      <w:r>
        <w:t xml:space="preserve">или</w:t>
      </w:r>
      <w:r>
        <w:t xml:space="preserve"> </w:t>
      </w:r>
      <w:r>
        <w:rPr>
          <w:rStyle w:val="VerbatimChar"/>
        </w:rPr>
        <w:t xml:space="preserve">U</w:t>
      </w:r>
      <w:r>
        <w:t xml:space="preserve"> </w:t>
      </w:r>
      <w:r>
        <w:t xml:space="preserve">для экземпляров данного филиала, а для остальных мест хранения остаётся</w:t>
      </w:r>
      <w:r>
        <w:t xml:space="preserve"> </w:t>
      </w:r>
      <w:r>
        <w:rPr>
          <w:rStyle w:val="VerbatimChar"/>
        </w:rPr>
        <w:t xml:space="preserve">C</w:t>
      </w:r>
      <w:r>
        <w:t xml:space="preserve">.</w:t>
      </w:r>
    </w:p>
    <w:bookmarkEnd w:id="93"/>
    <w:bookmarkStart w:id="94" w:name="статус-r-и-размножение-экземпляров"/>
    <w:p>
      <w:pPr>
        <w:pStyle w:val="Heading4"/>
      </w:pPr>
      <w:r>
        <w:t xml:space="preserve">45. Статус R и размножение экземпляров</w:t>
      </w:r>
    </w:p>
    <w:p>
      <w:pPr>
        <w:pStyle w:val="FirstParagraph"/>
      </w:pPr>
      <w:r>
        <w:t xml:space="preserve">Статус</w:t>
      </w:r>
      <w:r>
        <w:t xml:space="preserve"> </w:t>
      </w:r>
      <w:r>
        <w:rPr>
          <w:rStyle w:val="VerbatimChar"/>
        </w:rPr>
        <w:t xml:space="preserve">R</w:t>
      </w:r>
      <w:r>
        <w:t xml:space="preserve"> </w:t>
      </w:r>
      <w:r>
        <w:t xml:space="preserve">является временным технологическим статусом до сохранения документа. Он используется, когда нужно быстро ввести группу индивидуально учитываемых экземпляров, различающихся последовательными инвентарными номерами, штрих-кодами или местами хранения, но имеющих общие данные партии, канала поступления, цены и даты ввода.</w:t>
      </w:r>
    </w:p>
    <w:p>
      <w:pPr>
        <w:pStyle w:val="BodyText"/>
      </w:pPr>
      <w:r>
        <w:t xml:space="preserve">Число экземпляров и начальный инвентарный номер задаются в элементе</w:t>
      </w:r>
      <w:r>
        <w:t xml:space="preserve"> </w:t>
      </w:r>
      <w:r>
        <w:rPr>
          <w:rStyle w:val="VerbatimChar"/>
        </w:rPr>
        <w:t xml:space="preserve">Инвентарный номер</w:t>
      </w:r>
      <w:r>
        <w:t xml:space="preserve"> </w:t>
      </w:r>
      <w:r>
        <w:t xml:space="preserve">через разделитель</w:t>
      </w:r>
      <w:r>
        <w:t xml:space="preserve"> </w:t>
      </w:r>
      <w:r>
        <w:rPr>
          <w:rStyle w:val="VerbatimChar"/>
        </w:rPr>
        <w:t xml:space="preserve">/</w:t>
      </w:r>
      <w:r>
        <w:t xml:space="preserve">, например</w:t>
      </w:r>
      <w:r>
        <w:t xml:space="preserve"> </w:t>
      </w:r>
      <w:r>
        <w:rPr>
          <w:rStyle w:val="VerbatimChar"/>
        </w:rPr>
        <w:t xml:space="preserve">5/12567</w:t>
      </w:r>
      <w:r>
        <w:t xml:space="preserve">. Начальный штрих-код вводится в соответствующем подполе.</w:t>
      </w:r>
    </w:p>
    <w:p>
      <w:pPr>
        <w:pStyle w:val="BodyText"/>
      </w:pPr>
      <w:r>
        <w:t xml:space="preserve">При сохранении документа поле со статусом</w:t>
      </w:r>
      <w:r>
        <w:t xml:space="preserve"> </w:t>
      </w:r>
      <w:r>
        <w:rPr>
          <w:rStyle w:val="VerbatimChar"/>
        </w:rPr>
        <w:t xml:space="preserve">R</w:t>
      </w:r>
      <w:r>
        <w:t xml:space="preserve"> </w:t>
      </w:r>
      <w:r>
        <w:t xml:space="preserve">автоматически размножается:</w:t>
      </w:r>
    </w:p>
    <w:p>
      <w:pPr>
        <w:pStyle w:val="Compact"/>
        <w:numPr>
          <w:ilvl w:val="0"/>
          <w:numId w:val="1021"/>
        </w:numPr>
      </w:pPr>
      <w:r>
        <w:t xml:space="preserve">в новые повторения ставится статус</w:t>
      </w:r>
      <w:r>
        <w:t xml:space="preserve"> </w:t>
      </w:r>
      <w:r>
        <w:rPr>
          <w:rStyle w:val="VerbatimChar"/>
        </w:rPr>
        <w:t xml:space="preserve">0</w:t>
      </w:r>
      <w:r>
        <w:t xml:space="preserve">;</w:t>
      </w:r>
    </w:p>
    <w:p>
      <w:pPr>
        <w:pStyle w:val="Compact"/>
        <w:numPr>
          <w:ilvl w:val="0"/>
          <w:numId w:val="1021"/>
        </w:numPr>
      </w:pPr>
      <w:r>
        <w:t xml:space="preserve">инвентарный номер и/или штрих-код увеличиваются на единицу в правом разряде;</w:t>
      </w:r>
    </w:p>
    <w:p>
      <w:pPr>
        <w:pStyle w:val="Compact"/>
        <w:numPr>
          <w:ilvl w:val="0"/>
          <w:numId w:val="1021"/>
        </w:numPr>
      </w:pPr>
      <w:r>
        <w:t xml:space="preserve">если задан и инвентарный номер, и штрих-код, размножаются оба значения;</w:t>
      </w:r>
    </w:p>
    <w:p>
      <w:pPr>
        <w:pStyle w:val="Compact"/>
        <w:numPr>
          <w:ilvl w:val="0"/>
          <w:numId w:val="1021"/>
        </w:numPr>
      </w:pPr>
      <w:r>
        <w:t xml:space="preserve">если задан только штрих-код, создаются только штрих-коды;</w:t>
      </w:r>
    </w:p>
    <w:p>
      <w:pPr>
        <w:pStyle w:val="Compact"/>
        <w:numPr>
          <w:ilvl w:val="0"/>
          <w:numId w:val="1021"/>
        </w:numPr>
      </w:pPr>
      <w:r>
        <w:t xml:space="preserve">если штрих-код не задан, создаются только инвентарные номера;</w:t>
      </w:r>
    </w:p>
    <w:p>
      <w:pPr>
        <w:pStyle w:val="Compact"/>
        <w:numPr>
          <w:ilvl w:val="0"/>
          <w:numId w:val="1021"/>
        </w:numPr>
      </w:pPr>
      <w:r>
        <w:t xml:space="preserve">если начальный номер не задан, нумерация начинается с</w:t>
      </w:r>
      <w:r>
        <w:t xml:space="preserve"> </w:t>
      </w:r>
      <w:r>
        <w:rPr>
          <w:rStyle w:val="VerbatimChar"/>
        </w:rPr>
        <w:t xml:space="preserve">1</w:t>
      </w:r>
      <w:r>
        <w:t xml:space="preserve">;</w:t>
      </w:r>
    </w:p>
    <w:p>
      <w:pPr>
        <w:pStyle w:val="Compact"/>
        <w:numPr>
          <w:ilvl w:val="0"/>
          <w:numId w:val="1021"/>
        </w:numPr>
      </w:pPr>
      <w:r>
        <w:t xml:space="preserve">остальные данные переносятся из исходного поля без изменения.</w:t>
      </w:r>
    </w:p>
    <w:p>
      <w:pPr>
        <w:pStyle w:val="FirstParagraph"/>
      </w:pPr>
      <w:r>
        <w:t xml:space="preserve">Можно использовать процесс</w:t>
      </w:r>
      <w:r>
        <w:t xml:space="preserve"> </w:t>
      </w:r>
      <w:r>
        <w:rPr>
          <w:rStyle w:val="VerbatimChar"/>
        </w:rPr>
        <w:t xml:space="preserve">Размножение экземпляров</w:t>
      </w:r>
      <w:r>
        <w:t xml:space="preserve"> </w:t>
      </w:r>
      <w:r>
        <w:t xml:space="preserve">для разных мест хранения. Сначала через справочник вводятся направления или места хранения, затем добавляется одно поле со статусом</w:t>
      </w:r>
      <w:r>
        <w:t xml:space="preserve"> </w:t>
      </w:r>
      <w:r>
        <w:rPr>
          <w:rStyle w:val="VerbatimChar"/>
        </w:rPr>
        <w:t xml:space="preserve">R</w:t>
      </w:r>
      <w:r>
        <w:t xml:space="preserve"> </w:t>
      </w:r>
      <w:r>
        <w:t xml:space="preserve">и общими данными. При сохранении размноженные экземпляры объединяются с направлениями, а лишние направления остаются заказанными со статусом</w:t>
      </w:r>
      <w:r>
        <w:t xml:space="preserve"> </w:t>
      </w:r>
      <w:r>
        <w:rPr>
          <w:rStyle w:val="VerbatimChar"/>
        </w:rPr>
        <w:t xml:space="preserve">2</w:t>
      </w:r>
      <w:r>
        <w:t xml:space="preserve">.</w:t>
      </w:r>
    </w:p>
    <w:p>
      <w:pPr>
        <w:pStyle w:val="BodyText"/>
      </w:pPr>
      <w:r>
        <w:t xml:space="preserve">Это единственный случай, когда до сохранения документа допускаются поля экземпляров без статуса: они должны состоять только из места хранения и использоваться вместе хотя бы с одним полем со статусом</w:t>
      </w:r>
      <w:r>
        <w:t xml:space="preserve"> </w:t>
      </w:r>
      <w:r>
        <w:rPr>
          <w:rStyle w:val="VerbatimChar"/>
        </w:rPr>
        <w:t xml:space="preserve">R</w:t>
      </w:r>
      <w:r>
        <w:t xml:space="preserve">.</w:t>
      </w:r>
    </w:p>
    <w:bookmarkEnd w:id="94"/>
    <w:bookmarkStart w:id="95" w:name="инвентарные-номера-и-штрих-коды"/>
    <w:p>
      <w:pPr>
        <w:pStyle w:val="Heading4"/>
      </w:pPr>
      <w:r>
        <w:t xml:space="preserve">46. Инвентарные номера и штрих-коды</w:t>
      </w:r>
    </w:p>
    <w:p>
      <w:pPr>
        <w:pStyle w:val="FirstParagraph"/>
      </w:pPr>
      <w:r>
        <w:t xml:space="preserve">Структура инвентарного номера определяется пользователем и системой не контролируется. Номер может содержать буквенную часть, постоянную цифровую часть, разделители или другую локальную структуру.</w:t>
      </w:r>
    </w:p>
    <w:p>
      <w:pPr>
        <w:pStyle w:val="BodyText"/>
      </w:pPr>
      <w:r>
        <w:t xml:space="preserve">Для автоматического ввода последовательных номеров система выделяет изменяемую цифровую часть справа налево. Если справа нет числовой части, начальный номер считается незаданным, и счёт начинается с</w:t>
      </w:r>
      <w:r>
        <w:t xml:space="preserve"> </w:t>
      </w:r>
      <w:r>
        <w:rPr>
          <w:rStyle w:val="VerbatimChar"/>
        </w:rPr>
        <w:t xml:space="preserve">1</w:t>
      </w:r>
      <w:r>
        <w:t xml:space="preserve">; постоянная часть при этом сохраняется.</w:t>
      </w:r>
    </w:p>
    <w:p>
      <w:pPr>
        <w:pStyle w:val="BodyText"/>
      </w:pPr>
      <w:r>
        <w:t xml:space="preserve">Примеры размножения:</w:t>
      </w:r>
    </w:p>
    <w:p>
      <w:pPr>
        <w:pStyle w:val="Compact"/>
        <w:numPr>
          <w:ilvl w:val="0"/>
          <w:numId w:val="1022"/>
        </w:numPr>
      </w:pPr>
      <w:r>
        <w:rPr>
          <w:rStyle w:val="VerbatimChar"/>
        </w:rPr>
        <w:t xml:space="preserve">5/</w:t>
      </w:r>
      <w:r>
        <w:t xml:space="preserve"> </w:t>
      </w:r>
      <w:r>
        <w:t xml:space="preserve">даёт номера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 если штрих-код не введён;</w:t>
      </w:r>
    </w:p>
    <w:p>
      <w:pPr>
        <w:pStyle w:val="Compact"/>
        <w:numPr>
          <w:ilvl w:val="0"/>
          <w:numId w:val="1022"/>
        </w:numPr>
      </w:pPr>
      <w:r>
        <w:rPr>
          <w:rStyle w:val="VerbatimChar"/>
        </w:rPr>
        <w:t xml:space="preserve">3/123</w:t>
      </w:r>
      <w:r>
        <w:t xml:space="preserve"> </w:t>
      </w:r>
      <w:r>
        <w:t xml:space="preserve">даёт</w:t>
      </w:r>
      <w:r>
        <w:t xml:space="preserve"> </w:t>
      </w:r>
      <w:r>
        <w:rPr>
          <w:rStyle w:val="VerbatimChar"/>
        </w:rPr>
        <w:t xml:space="preserve">123</w:t>
      </w:r>
      <w:r>
        <w:t xml:space="preserve">,</w:t>
      </w:r>
      <w:r>
        <w:t xml:space="preserve"> </w:t>
      </w:r>
      <w:r>
        <w:rPr>
          <w:rStyle w:val="VerbatimChar"/>
        </w:rPr>
        <w:t xml:space="preserve">124</w:t>
      </w:r>
      <w:r>
        <w:t xml:space="preserve">,</w:t>
      </w:r>
      <w:r>
        <w:t xml:space="preserve"> </w:t>
      </w:r>
      <w:r>
        <w:rPr>
          <w:rStyle w:val="VerbatimChar"/>
        </w:rPr>
        <w:t xml:space="preserve">125</w:t>
      </w:r>
      <w:r>
        <w:t xml:space="preserve">;</w:t>
      </w:r>
    </w:p>
    <w:p>
      <w:pPr>
        <w:pStyle w:val="Compact"/>
        <w:numPr>
          <w:ilvl w:val="0"/>
          <w:numId w:val="1022"/>
        </w:numPr>
      </w:pPr>
      <w:r>
        <w:rPr>
          <w:rStyle w:val="VerbatimChar"/>
        </w:rPr>
        <w:t xml:space="preserve">4/АБ156</w:t>
      </w:r>
      <w:r>
        <w:t xml:space="preserve"> </w:t>
      </w:r>
      <w:r>
        <w:t xml:space="preserve">даёт</w:t>
      </w:r>
      <w:r>
        <w:t xml:space="preserve"> </w:t>
      </w:r>
      <w:r>
        <w:rPr>
          <w:rStyle w:val="VerbatimChar"/>
        </w:rPr>
        <w:t xml:space="preserve">АБ156</w:t>
      </w:r>
      <w:r>
        <w:t xml:space="preserve">,</w:t>
      </w:r>
      <w:r>
        <w:t xml:space="preserve"> </w:t>
      </w:r>
      <w:r>
        <w:rPr>
          <w:rStyle w:val="VerbatimChar"/>
        </w:rPr>
        <w:t xml:space="preserve">АБ157</w:t>
      </w:r>
      <w:r>
        <w:t xml:space="preserve">,</w:t>
      </w:r>
      <w:r>
        <w:t xml:space="preserve"> </w:t>
      </w:r>
      <w:r>
        <w:rPr>
          <w:rStyle w:val="VerbatimChar"/>
        </w:rPr>
        <w:t xml:space="preserve">АБ158</w:t>
      </w:r>
      <w:r>
        <w:t xml:space="preserve">,</w:t>
      </w:r>
      <w:r>
        <w:t xml:space="preserve"> </w:t>
      </w:r>
      <w:r>
        <w:rPr>
          <w:rStyle w:val="VerbatimChar"/>
        </w:rPr>
        <w:t xml:space="preserve">АБ159</w:t>
      </w:r>
      <w:r>
        <w:t xml:space="preserve">;</w:t>
      </w:r>
    </w:p>
    <w:p>
      <w:pPr>
        <w:pStyle w:val="Compact"/>
        <w:numPr>
          <w:ilvl w:val="0"/>
          <w:numId w:val="1022"/>
        </w:numPr>
      </w:pPr>
      <w:r>
        <w:rPr>
          <w:rStyle w:val="VerbatimChar"/>
        </w:rPr>
        <w:t xml:space="preserve">2/К19/12</w:t>
      </w:r>
      <w:r>
        <w:t xml:space="preserve"> </w:t>
      </w:r>
      <w:r>
        <w:t xml:space="preserve">даёт</w:t>
      </w:r>
      <w:r>
        <w:t xml:space="preserve"> </w:t>
      </w:r>
      <w:r>
        <w:rPr>
          <w:rStyle w:val="VerbatimChar"/>
        </w:rPr>
        <w:t xml:space="preserve">К19/12</w:t>
      </w:r>
      <w:r>
        <w:t xml:space="preserve">,</w:t>
      </w:r>
      <w:r>
        <w:t xml:space="preserve"> </w:t>
      </w:r>
      <w:r>
        <w:rPr>
          <w:rStyle w:val="VerbatimChar"/>
        </w:rPr>
        <w:t xml:space="preserve">К19/13</w:t>
      </w:r>
      <w:r>
        <w:t xml:space="preserve">;</w:t>
      </w:r>
    </w:p>
    <w:p>
      <w:pPr>
        <w:pStyle w:val="Compact"/>
        <w:numPr>
          <w:ilvl w:val="0"/>
          <w:numId w:val="1022"/>
        </w:numPr>
      </w:pPr>
      <w:r>
        <w:rPr>
          <w:rStyle w:val="VerbatimChar"/>
        </w:rPr>
        <w:t xml:space="preserve">3/1789-</w:t>
      </w:r>
      <w:r>
        <w:t xml:space="preserve"> </w:t>
      </w:r>
      <w:r>
        <w:t xml:space="preserve">даёт</w:t>
      </w:r>
      <w:r>
        <w:t xml:space="preserve"> </w:t>
      </w:r>
      <w:r>
        <w:rPr>
          <w:rStyle w:val="VerbatimChar"/>
        </w:rPr>
        <w:t xml:space="preserve">1789-1</w:t>
      </w:r>
      <w:r>
        <w:t xml:space="preserve">,</w:t>
      </w:r>
      <w:r>
        <w:t xml:space="preserve"> </w:t>
      </w:r>
      <w:r>
        <w:rPr>
          <w:rStyle w:val="VerbatimChar"/>
        </w:rPr>
        <w:t xml:space="preserve">1789-2</w:t>
      </w:r>
      <w:r>
        <w:t xml:space="preserve">,</w:t>
      </w:r>
      <w:r>
        <w:t xml:space="preserve"> </w:t>
      </w:r>
      <w:r>
        <w:rPr>
          <w:rStyle w:val="VerbatimChar"/>
        </w:rPr>
        <w:t xml:space="preserve">1789-3</w:t>
      </w:r>
      <w:r>
        <w:t xml:space="preserve">;</w:t>
      </w:r>
    </w:p>
    <w:p>
      <w:pPr>
        <w:pStyle w:val="Compact"/>
        <w:numPr>
          <w:ilvl w:val="0"/>
          <w:numId w:val="1022"/>
        </w:numPr>
      </w:pPr>
      <w:r>
        <w:rPr>
          <w:rStyle w:val="VerbatimChar"/>
        </w:rPr>
        <w:t xml:space="preserve">3/1789-4</w:t>
      </w:r>
      <w:r>
        <w:t xml:space="preserve"> </w:t>
      </w:r>
      <w:r>
        <w:t xml:space="preserve">даёт</w:t>
      </w:r>
      <w:r>
        <w:t xml:space="preserve"> </w:t>
      </w:r>
      <w:r>
        <w:rPr>
          <w:rStyle w:val="VerbatimChar"/>
        </w:rPr>
        <w:t xml:space="preserve">1789-4</w:t>
      </w:r>
      <w:r>
        <w:t xml:space="preserve">,</w:t>
      </w:r>
      <w:r>
        <w:t xml:space="preserve"> </w:t>
      </w:r>
      <w:r>
        <w:rPr>
          <w:rStyle w:val="VerbatimChar"/>
        </w:rPr>
        <w:t xml:space="preserve">1789-5</w:t>
      </w:r>
      <w:r>
        <w:t xml:space="preserve">,</w:t>
      </w:r>
      <w:r>
        <w:t xml:space="preserve"> </w:t>
      </w:r>
      <w:r>
        <w:rPr>
          <w:rStyle w:val="VerbatimChar"/>
        </w:rPr>
        <w:t xml:space="preserve">1789-6</w:t>
      </w:r>
      <w:r>
        <w:t xml:space="preserve">.</w:t>
      </w:r>
    </w:p>
    <w:p>
      <w:pPr>
        <w:pStyle w:val="FirstParagraph"/>
      </w:pPr>
      <w:r>
        <w:t xml:space="preserve">При сохранении документа для экземпляров индивидуального учёта контролируется наличие инвентарного номера или штрих-кода. Оба значения включаются в общий словарь и используются как идентификатор экземпляра в книговыдаче. Дублетный штрих-код не пропускается, а дублетный инвентарный номер даёт диагностический контроль; уровень контроля задаётся в настройке.</w:t>
      </w:r>
    </w:p>
    <w:p>
      <w:pPr>
        <w:pStyle w:val="BodyText"/>
      </w:pPr>
      <w:r>
        <w:t xml:space="preserve">Инвентарный номер можно вводить через словарь</w:t>
      </w:r>
      <w:r>
        <w:t xml:space="preserve"> </w:t>
      </w:r>
      <w:r>
        <w:rPr>
          <w:rStyle w:val="VerbatimChar"/>
        </w:rPr>
        <w:t xml:space="preserve">Инвентарные номера, сортированные</w:t>
      </w:r>
      <w:r>
        <w:t xml:space="preserve">, где длина цифровой части выровнена до восьми цифр ведущими пробелами. Это помогает определить последний введённый номер при работе в АРМе</w:t>
      </w:r>
      <w:r>
        <w:t xml:space="preserve"> </w:t>
      </w:r>
      <w:r>
        <w:rPr>
          <w:rStyle w:val="VerbatimChar"/>
        </w:rPr>
        <w:t xml:space="preserve">Каталогизатор</w:t>
      </w:r>
      <w:r>
        <w:t xml:space="preserve">.</w:t>
      </w:r>
    </w:p>
    <w:p>
      <w:pPr>
        <w:pStyle w:val="BodyText"/>
      </w:pPr>
      <w:r>
        <w:t xml:space="preserve">Штрих-коды при сохранении документа могут сортироваться по возрастанию, если это задано в настройке на странице</w:t>
      </w:r>
      <w:r>
        <w:t xml:space="preserve"> </w:t>
      </w:r>
      <w:r>
        <w:rPr>
          <w:rStyle w:val="VerbatimChar"/>
        </w:rPr>
        <w:t xml:space="preserve">Технология</w:t>
      </w:r>
      <w:r>
        <w:t xml:space="preserve">.</w:t>
      </w:r>
    </w:p>
    <w:bookmarkEnd w:id="95"/>
    <w:bookmarkStart w:id="96" w:name="Xfa38f1c8bfbd7487ff431a677ba6e1a0ae59a9b"/>
    <w:p>
      <w:pPr>
        <w:pStyle w:val="Heading4"/>
      </w:pPr>
      <w:r>
        <w:t xml:space="preserve">47. Дата поступления, место хранения и канал поступления</w:t>
      </w:r>
    </w:p>
    <w:p>
      <w:pPr>
        <w:pStyle w:val="FirstParagraph"/>
      </w:pPr>
      <w:r>
        <w:t xml:space="preserve">Экземпляр считается зарегистрированным, если заполнена дата поступления. Дата обязательна, потому что при пересчёте цен, списании и проверке фонда изменение цены выполняется относительно даты поступления.</w:t>
      </w:r>
    </w:p>
    <w:p>
      <w:pPr>
        <w:pStyle w:val="BodyText"/>
      </w:pPr>
      <w:r>
        <w:t xml:space="preserve">Если точная дата для ретрофонда неизвестна, рекомендуется указать приблизительную дату, например исходя из года выхода книги. Если дата не введена явно, при сохранении документа система берёт дату из настройки, а если она не задана - текущую дату.</w:t>
      </w:r>
    </w:p>
    <w:p>
      <w:pPr>
        <w:pStyle w:val="BodyText"/>
      </w:pPr>
      <w:r>
        <w:t xml:space="preserve">Место хранения вводится через справочник-меню и отражает подразделение, для которого экземпляр получен или заказан. При выводе сведений об экземплярах экземпляры внутреннего пользования могут исключаться из показа по справочнику</w:t>
      </w:r>
      <w:r>
        <w:t xml:space="preserve"> </w:t>
      </w:r>
      <w:r>
        <w:rPr>
          <w:rStyle w:val="VerbatimChar"/>
        </w:rPr>
        <w:t xml:space="preserve">MHRVN.MNU</w:t>
      </w:r>
      <w:r>
        <w:t xml:space="preserve">.</w:t>
      </w:r>
    </w:p>
    <w:p>
      <w:pPr>
        <w:pStyle w:val="BodyText"/>
      </w:pPr>
      <w:r>
        <w:t xml:space="preserve">Канал поступления вводится через справочник</w:t>
      </w:r>
      <w:r>
        <w:t xml:space="preserve"> </w:t>
      </w:r>
      <w:r>
        <w:rPr>
          <w:rStyle w:val="VerbatimChar"/>
        </w:rPr>
        <w:t xml:space="preserve">KP.MNU</w:t>
      </w:r>
      <w:r>
        <w:t xml:space="preserve">. Если коды каналов поступления отличаются от кодов организаций-посредников заказа в базе комплектования, при передаче книг в электронный каталог выполняется автоматическая замена по справочнику соответствия</w:t>
      </w:r>
      <w:r>
        <w:t xml:space="preserve"> </w:t>
      </w:r>
      <w:r>
        <w:rPr>
          <w:rStyle w:val="VerbatimChar"/>
        </w:rPr>
        <w:t xml:space="preserve">KPORG.MNU</w:t>
      </w:r>
      <w:r>
        <w:t xml:space="preserve">.</w:t>
      </w:r>
    </w:p>
    <w:p>
      <w:pPr>
        <w:pStyle w:val="BodyText"/>
      </w:pPr>
      <w:r>
        <w:t xml:space="preserve">Цена вводится для тех экземпляров, цена которых отличается от общей цены в области кодированной информации. Расстановочный шифр указывается для мест хранения, где он имеет собственный систематический индекс.</w:t>
      </w:r>
    </w:p>
    <w:p>
      <w:pPr>
        <w:pStyle w:val="BodyText"/>
      </w:pPr>
      <w:r>
        <w:t xml:space="preserve">Идентификатор партии книг, включая номер записи КСУ и номер акта индивидуального учёта, может вводиться автоматически при сохранении документа из настройки, заданной перед началом работы с партией.</w:t>
      </w:r>
    </w:p>
    <w:bookmarkEnd w:id="96"/>
    <w:bookmarkStart w:id="97" w:name="X63109bdfe93560ab183e0bbe5dfccde8d0a9ff2"/>
    <w:p>
      <w:pPr>
        <w:pStyle w:val="Heading4"/>
      </w:pPr>
      <w:r>
        <w:t xml:space="preserve">48. Книгообеспеченность, проверка фонда и списание</w:t>
      </w:r>
    </w:p>
    <w:p>
      <w:pPr>
        <w:pStyle w:val="FirstParagraph"/>
      </w:pPr>
      <w:r>
        <w:t xml:space="preserve">Данные по книгообеспеченности вводятся в базах вузов. Специальное назначение фонда определяет экземпляры для выделенной категории студентов, а коэффициент многоразового использования показывает, сколько раз экземпляры используются в течение семестра.</w:t>
      </w:r>
    </w:p>
    <w:p>
      <w:pPr>
        <w:pStyle w:val="BodyText"/>
      </w:pPr>
      <w:r>
        <w:t xml:space="preserve">Данные проверки фонда вводятся автоматически при выполнении режима проверки в АРМах</w:t>
      </w:r>
      <w:r>
        <w:t xml:space="preserve"> </w:t>
      </w:r>
      <w:r>
        <w:rPr>
          <w:rStyle w:val="VerbatimChar"/>
        </w:rPr>
        <w:t xml:space="preserve">Комплектатор</w:t>
      </w:r>
      <w:r>
        <w:t xml:space="preserve"> </w:t>
      </w:r>
      <w:r>
        <w:t xml:space="preserve">или</w:t>
      </w:r>
      <w:r>
        <w:t xml:space="preserve"> </w:t>
      </w:r>
      <w:r>
        <w:rPr>
          <w:rStyle w:val="VerbatimChar"/>
        </w:rPr>
        <w:t xml:space="preserve">Каталогизатор</w:t>
      </w:r>
      <w:r>
        <w:t xml:space="preserve">: дата проверки, пересчитанная цена и дата ввода при полной проверке, число проверенных экземпляров безынвентарного учёта и реальное место нахождения книги.</w:t>
      </w:r>
    </w:p>
    <w:p>
      <w:pPr>
        <w:pStyle w:val="BodyText"/>
      </w:pPr>
      <w:r>
        <w:t xml:space="preserve">Данные списания вводятся автоматически при работе в АРМе</w:t>
      </w:r>
      <w:r>
        <w:t xml:space="preserve"> </w:t>
      </w:r>
      <w:r>
        <w:rPr>
          <w:rStyle w:val="VerbatimChar"/>
        </w:rPr>
        <w:t xml:space="preserve">Комплектатор</w:t>
      </w:r>
      <w:r>
        <w:t xml:space="preserve"> </w:t>
      </w:r>
      <w:r>
        <w:t xml:space="preserve">в задаче</w:t>
      </w:r>
      <w:r>
        <w:t xml:space="preserve"> </w:t>
      </w:r>
      <w:r>
        <w:rPr>
          <w:rStyle w:val="VerbatimChar"/>
        </w:rPr>
        <w:t xml:space="preserve">Выбытие</w:t>
      </w:r>
      <w:r>
        <w:t xml:space="preserve">.</w:t>
      </w:r>
    </w:p>
    <w:bookmarkEnd w:id="97"/>
    <w:bookmarkStart w:id="98" w:name="страница-рл-технология"/>
    <w:p>
      <w:pPr>
        <w:pStyle w:val="Heading4"/>
      </w:pPr>
      <w:r>
        <w:t xml:space="preserve">49. Страница РЛ</w:t>
      </w:r>
      <w:r>
        <w:t xml:space="preserve"> </w:t>
      </w:r>
      <w:r>
        <w:rPr>
          <w:rStyle w:val="VerbatimChar"/>
        </w:rPr>
        <w:t xml:space="preserve">Технология</w:t>
      </w:r>
    </w:p>
    <w:p>
      <w:pPr>
        <w:pStyle w:val="FirstParagraph"/>
      </w:pPr>
      <w:r>
        <w:t xml:space="preserve">Страница</w:t>
      </w:r>
      <w:r>
        <w:t xml:space="preserve"> </w:t>
      </w:r>
      <w:r>
        <w:rPr>
          <w:rStyle w:val="VerbatimChar"/>
        </w:rPr>
        <w:t xml:space="preserve">Технология</w:t>
      </w:r>
      <w:r>
        <w:t xml:space="preserve"> </w:t>
      </w:r>
      <w:r>
        <w:t xml:space="preserve">содержит настройки вывода и технологические поля записи: тиражи каталожных карточек, этапы обработки, внешние ссылки, внутренние ресурсы, держателя документа, архивные сведения проверки фонда и списания.</w:t>
      </w:r>
    </w:p>
    <w:bookmarkEnd w:id="98"/>
    <w:bookmarkStart w:id="99" w:name="Xb54235870ded1be922b0396024096fefabb6ed3"/>
    <w:p>
      <w:pPr>
        <w:pStyle w:val="Heading4"/>
      </w:pPr>
      <w:r>
        <w:t xml:space="preserve">50. Поле 905: настройки вывода и технологических режимов</w:t>
      </w:r>
    </w:p>
    <w:p>
      <w:pPr>
        <w:pStyle w:val="FirstParagraph"/>
      </w:pPr>
      <w:r>
        <w:t xml:space="preserve">Поле</w:t>
      </w:r>
      <w:r>
        <w:t xml:space="preserve"> </w:t>
      </w:r>
      <w:r>
        <w:rPr>
          <w:rStyle w:val="VerbatimChar"/>
        </w:rPr>
        <w:t xml:space="preserve">905</w:t>
      </w:r>
      <w:r>
        <w:t xml:space="preserve"> </w:t>
      </w:r>
      <w:r>
        <w:t xml:space="preserve">позволяет указать тираж основной и добавочных каталожных карточек для пакетной печати. Тираж задаётся двумя числами через</w:t>
      </w:r>
      <w:r>
        <w:t xml:space="preserve"> </w:t>
      </w:r>
      <w:r>
        <w:rPr>
          <w:rStyle w:val="VerbatimChar"/>
        </w:rPr>
        <w:t xml:space="preserve">/</w:t>
      </w:r>
      <w:r>
        <w:t xml:space="preserve">, например</w:t>
      </w:r>
      <w:r>
        <w:t xml:space="preserve"> </w:t>
      </w:r>
      <w:r>
        <w:rPr>
          <w:rStyle w:val="VerbatimChar"/>
        </w:rPr>
        <w:t xml:space="preserve">6/2</w:t>
      </w:r>
      <w:r>
        <w:t xml:space="preserve">. Также тираж может рассчитываться автоматически по настройкам, заданным через кнопку</w:t>
      </w:r>
      <w:r>
        <w:t xml:space="preserve"> </w:t>
      </w:r>
      <w:r>
        <w:rPr>
          <w:rStyle w:val="VerbatimChar"/>
        </w:rPr>
        <w:t xml:space="preserve">Настройка</w:t>
      </w:r>
      <w:r>
        <w:t xml:space="preserve">.</w:t>
      </w:r>
    </w:p>
    <w:p>
      <w:pPr>
        <w:pStyle w:val="BodyText"/>
      </w:pPr>
      <w:r>
        <w:t xml:space="preserve">В это же поле могут вводиться дополнительные заголовки добавочных карточек, не связанные напрямую с элементами библиографического описания, например</w:t>
      </w:r>
      <w:r>
        <w:t xml:space="preserve"> </w:t>
      </w:r>
      <w:r>
        <w:rPr>
          <w:rStyle w:val="VerbatimChar"/>
        </w:rPr>
        <w:t xml:space="preserve">раритет</w:t>
      </w:r>
      <w:r>
        <w:t xml:space="preserve"> </w:t>
      </w:r>
      <w:r>
        <w:t xml:space="preserve">или</w:t>
      </w:r>
      <w:r>
        <w:t xml:space="preserve"> </w:t>
      </w:r>
      <w:r>
        <w:rPr>
          <w:rStyle w:val="VerbatimChar"/>
        </w:rPr>
        <w:t xml:space="preserve">специальный фонд</w:t>
      </w:r>
      <w:r>
        <w:t xml:space="preserve">.</w:t>
      </w:r>
    </w:p>
    <w:p>
      <w:pPr>
        <w:pStyle w:val="BodyText"/>
      </w:pPr>
      <w:r>
        <w:t xml:space="preserve">Управляющие коды поля</w:t>
      </w:r>
      <w:r>
        <w:t xml:space="preserve"> </w:t>
      </w:r>
      <w:r>
        <w:rPr>
          <w:rStyle w:val="VerbatimChar"/>
        </w:rPr>
        <w:t xml:space="preserve">905</w:t>
      </w:r>
      <w:r>
        <w:t xml:space="preserve"> </w:t>
      </w:r>
      <w:r>
        <w:t xml:space="preserve">задают форму представления данных в каталожных карточках, форматах просмотра и табличных формах. Среди них:</w:t>
      </w:r>
    </w:p>
    <w:p>
      <w:pPr>
        <w:pStyle w:val="Compact"/>
        <w:numPr>
          <w:ilvl w:val="0"/>
          <w:numId w:val="1023"/>
        </w:numPr>
      </w:pPr>
      <w:r>
        <w:t xml:space="preserve">вывод или отмена вывода цены;</w:t>
      </w:r>
    </w:p>
    <w:p>
      <w:pPr>
        <w:pStyle w:val="Compact"/>
        <w:numPr>
          <w:ilvl w:val="0"/>
          <w:numId w:val="1023"/>
        </w:numPr>
      </w:pPr>
      <w:r>
        <w:t xml:space="preserve">порядок вывода инвентарных номеров и сведений об экземплярах;</w:t>
      </w:r>
    </w:p>
    <w:p>
      <w:pPr>
        <w:pStyle w:val="Compact"/>
        <w:numPr>
          <w:ilvl w:val="0"/>
          <w:numId w:val="1023"/>
        </w:numPr>
      </w:pPr>
      <w:r>
        <w:t xml:space="preserve">вывод ключевых слов и аннотации;</w:t>
      </w:r>
    </w:p>
    <w:p>
      <w:pPr>
        <w:pStyle w:val="Compact"/>
        <w:numPr>
          <w:ilvl w:val="0"/>
          <w:numId w:val="1023"/>
        </w:numPr>
      </w:pPr>
      <w:r>
        <w:t xml:space="preserve">вывод индексов УДК, ББК, ГРНТИ и другой классификации;</w:t>
      </w:r>
    </w:p>
    <w:p>
      <w:pPr>
        <w:pStyle w:val="Compact"/>
        <w:numPr>
          <w:ilvl w:val="0"/>
          <w:numId w:val="1023"/>
        </w:numPr>
      </w:pPr>
      <w:r>
        <w:t xml:space="preserve">порядок вывода оглавления;</w:t>
      </w:r>
    </w:p>
    <w:p>
      <w:pPr>
        <w:pStyle w:val="Compact"/>
        <w:numPr>
          <w:ilvl w:val="0"/>
          <w:numId w:val="1023"/>
        </w:numPr>
      </w:pPr>
      <w:r>
        <w:t xml:space="preserve">вывод общих примечаний в общем блоке примечаний;</w:t>
      </w:r>
    </w:p>
    <w:p>
      <w:pPr>
        <w:pStyle w:val="Compact"/>
        <w:numPr>
          <w:ilvl w:val="0"/>
          <w:numId w:val="1023"/>
        </w:numPr>
      </w:pPr>
      <w:r>
        <w:t xml:space="preserve">вывод серии статьи;</w:t>
      </w:r>
    </w:p>
    <w:p>
      <w:pPr>
        <w:pStyle w:val="Compact"/>
        <w:numPr>
          <w:ilvl w:val="0"/>
          <w:numId w:val="1023"/>
        </w:numPr>
      </w:pPr>
      <w:r>
        <w:t xml:space="preserve">вывод константы</w:t>
      </w:r>
      <w:r>
        <w:t xml:space="preserve"> </w:t>
      </w:r>
      <w:r>
        <w:rPr>
          <w:rStyle w:val="VerbatimChar"/>
        </w:rPr>
        <w:t xml:space="preserve">ТЕКСТ</w:t>
      </w:r>
      <w:r>
        <w:t xml:space="preserve">;</w:t>
      </w:r>
    </w:p>
    <w:p>
      <w:pPr>
        <w:pStyle w:val="Compact"/>
        <w:numPr>
          <w:ilvl w:val="0"/>
          <w:numId w:val="1023"/>
        </w:numPr>
      </w:pPr>
      <w:r>
        <w:t xml:space="preserve">вывод сведений к заглавию на формуляре;</w:t>
      </w:r>
    </w:p>
    <w:p>
      <w:pPr>
        <w:pStyle w:val="Compact"/>
        <w:numPr>
          <w:ilvl w:val="0"/>
          <w:numId w:val="1023"/>
        </w:numPr>
      </w:pPr>
      <w:r>
        <w:t xml:space="preserve">сокращённый вывод данных на добавочной карточке;</w:t>
      </w:r>
    </w:p>
    <w:p>
      <w:pPr>
        <w:pStyle w:val="Compact"/>
        <w:numPr>
          <w:ilvl w:val="0"/>
          <w:numId w:val="1023"/>
        </w:numPr>
      </w:pPr>
      <w:r>
        <w:t xml:space="preserve">вывод или отмена предметных и географических рубрик на карточке;</w:t>
      </w:r>
    </w:p>
    <w:p>
      <w:pPr>
        <w:pStyle w:val="Compact"/>
        <w:numPr>
          <w:ilvl w:val="0"/>
          <w:numId w:val="1023"/>
        </w:numPr>
      </w:pPr>
      <w:r>
        <w:t xml:space="preserve">печать формуляров и карточек для топографического каталога по номеру КСУ.</w:t>
      </w:r>
    </w:p>
    <w:p>
      <w:pPr>
        <w:pStyle w:val="FirstParagraph"/>
      </w:pPr>
      <w:r>
        <w:t xml:space="preserve">Поле также содержит коды, управляющие технологическими режимами:</w:t>
      </w:r>
    </w:p>
    <w:p>
      <w:pPr>
        <w:pStyle w:val="Compact"/>
        <w:numPr>
          <w:ilvl w:val="0"/>
          <w:numId w:val="1024"/>
        </w:numPr>
      </w:pPr>
      <w:r>
        <w:t xml:space="preserve">отмена проверки на дублетность для отдельного документа;</w:t>
      </w:r>
    </w:p>
    <w:p>
      <w:pPr>
        <w:pStyle w:val="Compact"/>
        <w:numPr>
          <w:ilvl w:val="0"/>
          <w:numId w:val="1024"/>
        </w:numPr>
      </w:pPr>
      <w:r>
        <w:t xml:space="preserve">отмена проверки на дублетность аналитической записи, полученной копированием из записи источника;</w:t>
      </w:r>
    </w:p>
    <w:p>
      <w:pPr>
        <w:pStyle w:val="Compact"/>
        <w:numPr>
          <w:ilvl w:val="0"/>
          <w:numId w:val="1024"/>
        </w:numPr>
      </w:pPr>
      <w:r>
        <w:t xml:space="preserve">порядок проверки инвентарных номеров и штрих-кодов;</w:t>
      </w:r>
    </w:p>
    <w:p>
      <w:pPr>
        <w:pStyle w:val="Compact"/>
        <w:numPr>
          <w:ilvl w:val="0"/>
          <w:numId w:val="1024"/>
        </w:numPr>
      </w:pPr>
      <w:r>
        <w:t xml:space="preserve">отмена автоматического формирования сведений об ответственности;</w:t>
      </w:r>
    </w:p>
    <w:p>
      <w:pPr>
        <w:pStyle w:val="Compact"/>
        <w:numPr>
          <w:ilvl w:val="0"/>
          <w:numId w:val="1024"/>
        </w:numPr>
      </w:pPr>
      <w:r>
        <w:t xml:space="preserve">отмена автоматического формирования сведений к заглавию или преобразования их первого символа в строчную букву;</w:t>
      </w:r>
    </w:p>
    <w:p>
      <w:pPr>
        <w:pStyle w:val="Compact"/>
        <w:numPr>
          <w:ilvl w:val="0"/>
          <w:numId w:val="1024"/>
        </w:numPr>
      </w:pPr>
      <w:r>
        <w:t xml:space="preserve">сортировка штрих-кодов при сохранении документа.</w:t>
      </w:r>
    </w:p>
    <w:bookmarkEnd w:id="99"/>
    <w:bookmarkStart w:id="100" w:name="поле-907-каталогизатор-и-дата-обработки"/>
    <w:p>
      <w:pPr>
        <w:pStyle w:val="Heading4"/>
      </w:pPr>
      <w:r>
        <w:t xml:space="preserve">51. Поле 907: каталогизатор и дата обработки</w:t>
      </w:r>
    </w:p>
    <w:p>
      <w:pPr>
        <w:pStyle w:val="FirstParagraph"/>
      </w:pPr>
      <w:r>
        <w:t xml:space="preserve">Поле</w:t>
      </w:r>
      <w:r>
        <w:t xml:space="preserve"> </w:t>
      </w:r>
      <w:r>
        <w:rPr>
          <w:rStyle w:val="VerbatimChar"/>
        </w:rPr>
        <w:t xml:space="preserve">907</w:t>
      </w:r>
      <w:r>
        <w:t xml:space="preserve"> </w:t>
      </w:r>
      <w:r>
        <w:t xml:space="preserve">фиксирует этап работы, дату и ФИО исполнителя. Эти данные используются для учёта работы каталогизаторов и контроля качества обработки.</w:t>
      </w:r>
    </w:p>
    <w:p>
      <w:pPr>
        <w:pStyle w:val="BodyText"/>
      </w:pPr>
      <w:r>
        <w:t xml:space="preserve">Если поле не введено, при сохранении документа система может добавить текущую дату, этап работы и ФИО из настроек. Если запись изменялась несколько раз в течение одного дня, поле добавляется при изменении одного из его составляющих, чтобы было видно, кто и когда корректировал запись.</w:t>
      </w:r>
    </w:p>
    <w:p>
      <w:pPr>
        <w:pStyle w:val="BodyText"/>
      </w:pPr>
      <w:r>
        <w:t xml:space="preserve">Первое значение поля включается в словарь</w:t>
      </w:r>
      <w:r>
        <w:t xml:space="preserve"> </w:t>
      </w:r>
      <w:r>
        <w:rPr>
          <w:rStyle w:val="VerbatimChar"/>
        </w:rPr>
        <w:t xml:space="preserve">Дата ввода</w:t>
      </w:r>
      <w:r>
        <w:t xml:space="preserve">. При необходимости можно включить словарь</w:t>
      </w:r>
      <w:r>
        <w:t xml:space="preserve"> </w:t>
      </w:r>
      <w:r>
        <w:rPr>
          <w:rStyle w:val="VerbatimChar"/>
        </w:rPr>
        <w:t xml:space="preserve">Технология</w:t>
      </w:r>
      <w:r>
        <w:t xml:space="preserve">, в который будут попадать сочетания даты и ФИО для всех этапов работы.</w:t>
      </w:r>
    </w:p>
    <w:p>
      <w:pPr>
        <w:pStyle w:val="BodyText"/>
      </w:pPr>
      <w:r>
        <w:t xml:space="preserve">При переносе записи из базы комплектования в электронный каталог в запись может вводиться этап</w:t>
      </w:r>
      <w:r>
        <w:t xml:space="preserve"> </w:t>
      </w:r>
      <w:r>
        <w:rPr>
          <w:rStyle w:val="VerbatimChar"/>
        </w:rPr>
        <w:t xml:space="preserve">ОБРНЗ</w:t>
      </w:r>
      <w:r>
        <w:t xml:space="preserve"> </w:t>
      </w:r>
      <w:r>
        <w:t xml:space="preserve">- обработка не завершена. Пока этот код не удалён, читателю выводится сообщение, что книга не выдаётся. Признак можно удалить вручную или автоматически, установив этап завершения обработки и сохранив документ либо выполнив соответствующую глобальную корректировку.</w:t>
      </w:r>
    </w:p>
    <w:bookmarkEnd w:id="100"/>
    <w:bookmarkStart w:id="101" w:name="поле-951-ссылка-на-внешний-объект"/>
    <w:p>
      <w:pPr>
        <w:pStyle w:val="Heading4"/>
      </w:pPr>
      <w:r>
        <w:t xml:space="preserve">52. Поле 951: ссылка на внешний объект</w:t>
      </w:r>
    </w:p>
    <w:p>
      <w:pPr>
        <w:pStyle w:val="FirstParagraph"/>
      </w:pPr>
      <w:r>
        <w:t xml:space="preserve">Поле</w:t>
      </w:r>
      <w:r>
        <w:t xml:space="preserve"> </w:t>
      </w:r>
      <w:r>
        <w:rPr>
          <w:rStyle w:val="VerbatimChar"/>
        </w:rPr>
        <w:t xml:space="preserve">951</w:t>
      </w:r>
      <w:r>
        <w:t xml:space="preserve"> </w:t>
      </w:r>
      <w:r>
        <w:t xml:space="preserve">содержит сведения о внешних объектах, связанных с библиографическим описанием: файлах или интернет-ресурсах. В форматах показа они отображаются как ссылки. Поле повторяется, если с документом связано несколько объектов.</w:t>
      </w:r>
    </w:p>
    <w:p>
      <w:pPr>
        <w:pStyle w:val="BodyText"/>
      </w:pPr>
      <w:r>
        <w:t xml:space="preserve">Для каждой ссылки можно указать поясняющий текст, который будет выводиться на HTML-странице. Имя файла и URL являются альтернативными элементами: в одном повторении должно быть заполнено одно из них.</w:t>
      </w:r>
    </w:p>
    <w:p>
      <w:pPr>
        <w:pStyle w:val="BodyText"/>
      </w:pPr>
      <w:r>
        <w:t xml:space="preserve">Имя файла используется, когда объект находится в каталоге базы данных или внутри него. В этом случае указывается имя файла либо относительный путь от каталога базы. URL используется для абсолютных адресов в интернете или полных сетевых путей.</w:t>
      </w:r>
    </w:p>
    <w:bookmarkEnd w:id="101"/>
    <w:bookmarkStart w:id="102" w:name="поле-953-внутренний-двоичный-ресурс"/>
    <w:p>
      <w:pPr>
        <w:pStyle w:val="Heading4"/>
      </w:pPr>
      <w:r>
        <w:t xml:space="preserve">53. Поле 953: внутренний двоичный ресурс</w:t>
      </w:r>
    </w:p>
    <w:p>
      <w:pPr>
        <w:pStyle w:val="FirstParagraph"/>
      </w:pPr>
      <w:r>
        <w:t xml:space="preserve">Поле</w:t>
      </w:r>
      <w:r>
        <w:t xml:space="preserve"> </w:t>
      </w:r>
      <w:r>
        <w:rPr>
          <w:rStyle w:val="VerbatimChar"/>
        </w:rPr>
        <w:t xml:space="preserve">953</w:t>
      </w:r>
      <w:r>
        <w:t xml:space="preserve"> </w:t>
      </w:r>
      <w:r>
        <w:t xml:space="preserve">хранит внутри записи двоичные ресурсы и предназначено для небольших объектов, которые должны оставаться частью документа при копировании, импорте или экспорте. Для полного текста книги предпочтительнее использовать внешний объект.</w:t>
      </w:r>
    </w:p>
    <w:p>
      <w:pPr>
        <w:pStyle w:val="BodyText"/>
      </w:pPr>
      <w:r>
        <w:t xml:space="preserve">Поле повторяется; каждое повторение содержит один ресурс. Внутренний ресурс может быть графикой, видео, звуком или другим файлом. В форматах показа такие ресурсы доступны прежде всего в HTML-выводе.</w:t>
      </w:r>
    </w:p>
    <w:p>
      <w:pPr>
        <w:pStyle w:val="BodyText"/>
      </w:pPr>
      <w:r>
        <w:t xml:space="preserve">Тип внутреннего ресурса соответствует расширению файла и вводится автоматически. Название ресурса заполняется свободно. Характер ресурса определяет способ показа:</w:t>
      </w:r>
    </w:p>
    <w:p>
      <w:pPr>
        <w:pStyle w:val="Compact"/>
        <w:numPr>
          <w:ilvl w:val="0"/>
          <w:numId w:val="1025"/>
        </w:numPr>
      </w:pPr>
      <w:r>
        <w:rPr>
          <w:rStyle w:val="VerbatimChar"/>
        </w:rPr>
        <w:t xml:space="preserve">Контекстный</w:t>
      </w:r>
      <w:r>
        <w:t xml:space="preserve"> </w:t>
      </w:r>
      <w:r>
        <w:t xml:space="preserve">ресурс показывается внутри данных другого поля. Для этого в нужном месте поля указывается номер повторения</w:t>
      </w:r>
      <w:r>
        <w:t xml:space="preserve"> </w:t>
      </w:r>
      <w:r>
        <w:rPr>
          <w:rStyle w:val="VerbatimChar"/>
        </w:rPr>
        <w:t xml:space="preserve">953</w:t>
      </w:r>
      <w:r>
        <w:t xml:space="preserve"> </w:t>
      </w:r>
      <w:r>
        <w:t xml:space="preserve">в двойных квадратных скобках, например</w:t>
      </w:r>
      <w:r>
        <w:t xml:space="preserve"> </w:t>
      </w:r>
      <w:r>
        <w:rPr>
          <w:rStyle w:val="VerbatimChar"/>
        </w:rPr>
        <w:t xml:space="preserve">[[2]]</w:t>
      </w:r>
      <w:r>
        <w:t xml:space="preserve">.</w:t>
      </w:r>
    </w:p>
    <w:p>
      <w:pPr>
        <w:pStyle w:val="Compact"/>
        <w:numPr>
          <w:ilvl w:val="0"/>
          <w:numId w:val="1025"/>
        </w:numPr>
      </w:pPr>
      <w:r>
        <w:rPr>
          <w:rStyle w:val="VerbatimChar"/>
        </w:rPr>
        <w:t xml:space="preserve">Внеконтекстный</w:t>
      </w:r>
      <w:r>
        <w:t xml:space="preserve"> </w:t>
      </w:r>
      <w:r>
        <w:t xml:space="preserve">ресурс показывается независимо от данных других полей, а место вывода определяется форматом.</w:t>
      </w:r>
    </w:p>
    <w:p>
      <w:pPr>
        <w:pStyle w:val="FirstParagraph"/>
      </w:pPr>
      <w:r>
        <w:t xml:space="preserve">Собственно ресурс вводится из внешнего файла и хранится в записи в специальном текстовом кодировании.</w:t>
      </w:r>
    </w:p>
    <w:bookmarkEnd w:id="102"/>
    <w:bookmarkStart w:id="103" w:name="поле-902-держатель-документа"/>
    <w:p>
      <w:pPr>
        <w:pStyle w:val="Heading4"/>
      </w:pPr>
      <w:r>
        <w:t xml:space="preserve">54. Поле 902: держатель документа</w:t>
      </w:r>
    </w:p>
    <w:p>
      <w:pPr>
        <w:pStyle w:val="FirstParagraph"/>
      </w:pPr>
      <w:r>
        <w:t xml:space="preserve">Поле</w:t>
      </w:r>
      <w:r>
        <w:t xml:space="preserve"> </w:t>
      </w:r>
      <w:r>
        <w:rPr>
          <w:rStyle w:val="VerbatimChar"/>
        </w:rPr>
        <w:t xml:space="preserve">902</w:t>
      </w:r>
      <w:r>
        <w:t xml:space="preserve"> </w:t>
      </w:r>
      <w:r>
        <w:t xml:space="preserve">содержит наименование организации, почтовый адрес и адреса телекоммуникаций. Оно используется для данных участников сводного каталога, повторяется по числу организаций, включается в словарь и выводится в форматах просмотра.</w:t>
      </w:r>
    </w:p>
    <w:bookmarkEnd w:id="103"/>
    <w:bookmarkStart w:id="104" w:name="Xa3c396af00e86ba43e5e68ff4f4ca05364fd330"/>
    <w:p>
      <w:pPr>
        <w:pStyle w:val="Heading4"/>
      </w:pPr>
      <w:r>
        <w:t xml:space="preserve">55. Поля 941, 940 и 999: архивные и служебные сведения</w:t>
      </w:r>
    </w:p>
    <w:p>
      <w:pPr>
        <w:pStyle w:val="FirstParagraph"/>
      </w:pPr>
      <w:r>
        <w:t xml:space="preserve">Поле</w:t>
      </w:r>
      <w:r>
        <w:t xml:space="preserve"> </w:t>
      </w:r>
      <w:r>
        <w:rPr>
          <w:rStyle w:val="VerbatimChar"/>
        </w:rPr>
        <w:t xml:space="preserve">941</w:t>
      </w:r>
      <w:r>
        <w:t xml:space="preserve"> </w:t>
      </w:r>
      <w:r>
        <w:t xml:space="preserve">содержит архивные сведения о данных экземпляра до проверки фонда. Оно формируется автоматически при полной проверке фонда. Структура аналогична</w:t>
      </w:r>
      <w:r>
        <w:t xml:space="preserve"> </w:t>
      </w:r>
      <w:r>
        <w:rPr>
          <w:rStyle w:val="VerbatimChar"/>
        </w:rPr>
        <w:t xml:space="preserve">910</w:t>
      </w:r>
      <w:r>
        <w:t xml:space="preserve">, но цена присутствует обязательно: вводится индивидуальная цена экземпляра или общая цена из поля</w:t>
      </w:r>
      <w:r>
        <w:t xml:space="preserve"> </w:t>
      </w:r>
      <w:r>
        <w:rPr>
          <w:rStyle w:val="VerbatimChar"/>
        </w:rPr>
        <w:t xml:space="preserve">10</w:t>
      </w:r>
      <w:r>
        <w:t xml:space="preserve"> </w:t>
      </w:r>
      <w:r>
        <w:t xml:space="preserve">без пересчёта.</w:t>
      </w:r>
    </w:p>
    <w:p>
      <w:pPr>
        <w:pStyle w:val="BodyText"/>
      </w:pPr>
      <w:r>
        <w:t xml:space="preserve">Поле</w:t>
      </w:r>
      <w:r>
        <w:t xml:space="preserve"> </w:t>
      </w:r>
      <w:r>
        <w:rPr>
          <w:rStyle w:val="VerbatimChar"/>
        </w:rPr>
        <w:t xml:space="preserve">940</w:t>
      </w:r>
      <w:r>
        <w:t xml:space="preserve"> </w:t>
      </w:r>
      <w:r>
        <w:t xml:space="preserve">содержит архивные сведения о данных экземпляра до списания. Оно формируется автоматически при списании, имеет структуру, близкую к</w:t>
      </w:r>
      <w:r>
        <w:t xml:space="preserve"> </w:t>
      </w:r>
      <w:r>
        <w:rPr>
          <w:rStyle w:val="VerbatimChar"/>
        </w:rPr>
        <w:t xml:space="preserve">910</w:t>
      </w:r>
      <w:r>
        <w:t xml:space="preserve">, и включает данные выбытия.</w:t>
      </w:r>
    </w:p>
    <w:p>
      <w:pPr>
        <w:pStyle w:val="BodyText"/>
      </w:pPr>
      <w:r>
        <w:t xml:space="preserve">Поле</w:t>
      </w:r>
      <w:r>
        <w:t xml:space="preserve"> </w:t>
      </w:r>
      <w:r>
        <w:rPr>
          <w:rStyle w:val="VerbatimChar"/>
        </w:rPr>
        <w:t xml:space="preserve">999</w:t>
      </w:r>
      <w:r>
        <w:t xml:space="preserve"> </w:t>
      </w:r>
      <w:r>
        <w:t xml:space="preserve">формируется автоматически при фиксации выдачи экземпляра в АРМе</w:t>
      </w:r>
      <w:r>
        <w:t xml:space="preserve"> </w:t>
      </w:r>
      <w:r>
        <w:rPr>
          <w:rStyle w:val="VerbatimChar"/>
        </w:rPr>
        <w:t xml:space="preserve">Книговыдача</w:t>
      </w:r>
      <w:r>
        <w:t xml:space="preserve"> </w:t>
      </w:r>
      <w:r>
        <w:t xml:space="preserve">и содержит количество выдач.</w:t>
      </w:r>
    </w:p>
    <w:bookmarkEnd w:id="104"/>
    <w:bookmarkStart w:id="105" w:name="страница-рл-систематизация"/>
    <w:p>
      <w:pPr>
        <w:pStyle w:val="Heading4"/>
      </w:pPr>
      <w:r>
        <w:t xml:space="preserve">56. Страница РЛ</w:t>
      </w:r>
      <w:r>
        <w:t xml:space="preserve"> </w:t>
      </w:r>
      <w:r>
        <w:rPr>
          <w:rStyle w:val="VerbatimChar"/>
        </w:rPr>
        <w:t xml:space="preserve">Систематизация</w:t>
      </w:r>
    </w:p>
    <w:p>
      <w:pPr>
        <w:pStyle w:val="FirstParagraph"/>
      </w:pPr>
      <w:r>
        <w:t xml:space="preserve">Страница</w:t>
      </w:r>
      <w:r>
        <w:t xml:space="preserve"> </w:t>
      </w:r>
      <w:r>
        <w:rPr>
          <w:rStyle w:val="VerbatimChar"/>
        </w:rPr>
        <w:t xml:space="preserve">Систематизация</w:t>
      </w:r>
      <w:r>
        <w:t xml:space="preserve"> </w:t>
      </w:r>
      <w:r>
        <w:t xml:space="preserve">содержит сведения о содержании документа: классификационные индексы, систематический шифр, авторский знак, шифр документа в базе, рубрики, дескрипторы и ключевые слова.</w:t>
      </w:r>
    </w:p>
    <w:bookmarkEnd w:id="105"/>
    <w:bookmarkStart w:id="106" w:name="поле-675-индексы-удк"/>
    <w:p>
      <w:pPr>
        <w:pStyle w:val="Heading4"/>
      </w:pPr>
      <w:r>
        <w:t xml:space="preserve">57. Поле 675: индексы УДК</w:t>
      </w:r>
    </w:p>
    <w:p>
      <w:pPr>
        <w:pStyle w:val="FirstParagraph"/>
      </w:pPr>
      <w:r>
        <w:t xml:space="preserve">Поле</w:t>
      </w:r>
      <w:r>
        <w:t xml:space="preserve"> </w:t>
      </w:r>
      <w:r>
        <w:rPr>
          <w:rStyle w:val="VerbatimChar"/>
        </w:rPr>
        <w:t xml:space="preserve">675</w:t>
      </w:r>
      <w:r>
        <w:t xml:space="preserve"> </w:t>
      </w:r>
      <w:r>
        <w:t xml:space="preserve">содержит индекс УДК, издание, текст, ввод через АПУ к УДК и ввод через базу УДК. Индексы УДК вводятся как повторяющееся поле и в таком виде выводятся в поисковый словарь. Поиск возможен по полному индексу или по индексу, усечённому справа.</w:t>
      </w:r>
    </w:p>
    <w:p>
      <w:pPr>
        <w:pStyle w:val="BodyText"/>
      </w:pPr>
      <w:r>
        <w:t xml:space="preserve">Алфавитно-предметный указатель к УДК можно использовать как авторитетный файл. Через него за одно обращение к словарю можно перенести несколько индексов в повторяющиеся поля.</w:t>
      </w:r>
    </w:p>
    <w:p>
      <w:pPr>
        <w:pStyle w:val="BodyText"/>
      </w:pPr>
      <w:r>
        <w:t xml:space="preserve">Элемент</w:t>
      </w:r>
      <w:r>
        <w:t xml:space="preserve"> </w:t>
      </w:r>
      <w:r>
        <w:rPr>
          <w:rStyle w:val="VerbatimChar"/>
        </w:rPr>
        <w:t xml:space="preserve">Издание</w:t>
      </w:r>
      <w:r>
        <w:t xml:space="preserve"> </w:t>
      </w:r>
      <w:r>
        <w:t xml:space="preserve">содержит номер издания УДК, из которого взят индекс. Элемент</w:t>
      </w:r>
      <w:r>
        <w:t xml:space="preserve"> </w:t>
      </w:r>
      <w:r>
        <w:rPr>
          <w:rStyle w:val="VerbatimChar"/>
        </w:rPr>
        <w:t xml:space="preserve">Текст</w:t>
      </w:r>
      <w:r>
        <w:t xml:space="preserve"> </w:t>
      </w:r>
      <w:r>
        <w:t xml:space="preserve">используется, когда нужно пополнить авторитетную базу АПУ к УДК новым составным индексом; после сохранения или глобальной корректировки текст переносится в авторитетную базу, а в записи электронного каталога очищается.</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УДК и авторского знака при отсутствии более приоритетных данных.</w:t>
      </w:r>
    </w:p>
    <w:bookmarkEnd w:id="106"/>
    <w:bookmarkStart w:id="107" w:name="поле-621-индексы-ббк"/>
    <w:p>
      <w:pPr>
        <w:pStyle w:val="Heading4"/>
      </w:pPr>
      <w:r>
        <w:t xml:space="preserve">58. Поле 621: индексы ББК</w:t>
      </w:r>
    </w:p>
    <w:p>
      <w:pPr>
        <w:pStyle w:val="FirstParagraph"/>
      </w:pPr>
      <w:r>
        <w:t xml:space="preserve">Поле</w:t>
      </w:r>
      <w:r>
        <w:t xml:space="preserve"> </w:t>
      </w:r>
      <w:r>
        <w:rPr>
          <w:rStyle w:val="VerbatimChar"/>
        </w:rPr>
        <w:t xml:space="preserve">621</w:t>
      </w:r>
      <w:r>
        <w:t xml:space="preserve"> </w:t>
      </w:r>
      <w:r>
        <w:t xml:space="preserve">содержит индекс ББК, текст, ввод через АПУ к ББК, ввод через базу ББК и индексы ББК из авторитетного файла.</w:t>
      </w:r>
    </w:p>
    <w:p>
      <w:pPr>
        <w:pStyle w:val="BodyText"/>
      </w:pPr>
      <w:r>
        <w:t xml:space="preserve">ББК применяется как альтернатива УДК. Порядок представления индексов в поисковом словаре аналогичен УДК. При наличии АПУ к ББК он используется для ввода так же, как АПУ к УДК.</w:t>
      </w:r>
    </w:p>
    <w:p>
      <w:pPr>
        <w:pStyle w:val="BodyText"/>
      </w:pPr>
      <w:r>
        <w:t xml:space="preserve">Если используются авторитетные файлы предметных рубрик, где зафиксировано соответствие рубрик и индексов ББК, эти индексы вместе с рубрикой вводятся в каталогизируемый документ и при сохранении переносятся в поле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ББК и авторского знака при отсутствии систематического шифра, другой классификации и УДК.</w:t>
      </w:r>
    </w:p>
    <w:bookmarkEnd w:id="107"/>
    <w:bookmarkStart w:id="108" w:name="поле-686-индексы-другой-классификации"/>
    <w:p>
      <w:pPr>
        <w:pStyle w:val="Heading4"/>
      </w:pPr>
      <w:r>
        <w:t xml:space="preserve">59. Поле 686: индексы другой классификации</w:t>
      </w:r>
    </w:p>
    <w:p>
      <w:pPr>
        <w:pStyle w:val="FirstParagraph"/>
      </w:pPr>
      <w:r>
        <w:t xml:space="preserve">Поле</w:t>
      </w:r>
      <w:r>
        <w:t xml:space="preserve"> </w:t>
      </w:r>
      <w:r>
        <w:rPr>
          <w:rStyle w:val="VerbatimChar"/>
        </w:rPr>
        <w:t xml:space="preserve">686</w:t>
      </w:r>
      <w:r>
        <w:t xml:space="preserve"> </w:t>
      </w:r>
      <w:r>
        <w:t xml:space="preserve">используется для классификации, разработанной организацией-пользователем, или другой локальной классификационной системы. Индексы вводятся через пользовательское меню, выводятся в отдельный поисковый словарь и представляются в нём по тем же правилам, что УДК и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другой классификации и авторского знака при отсутствии систематического шифра.</w:t>
      </w:r>
    </w:p>
    <w:bookmarkEnd w:id="108"/>
    <w:bookmarkStart w:id="109" w:name="поле-906-систематический-шифр"/>
    <w:p>
      <w:pPr>
        <w:pStyle w:val="Heading4"/>
      </w:pPr>
      <w:r>
        <w:t xml:space="preserve">60. Поле 906: систематический шифр</w:t>
      </w:r>
    </w:p>
    <w:p>
      <w:pPr>
        <w:pStyle w:val="FirstParagraph"/>
      </w:pPr>
      <w:r>
        <w:t xml:space="preserve">Поле</w:t>
      </w:r>
      <w:r>
        <w:t xml:space="preserve"> </w:t>
      </w:r>
      <w:r>
        <w:rPr>
          <w:rStyle w:val="VerbatimChar"/>
        </w:rPr>
        <w:t xml:space="preserve">906</w:t>
      </w:r>
      <w:r>
        <w:t xml:space="preserve"> </w:t>
      </w:r>
      <w:r>
        <w:t xml:space="preserve">используется, когда расстановочный шифр строится из укороченного индекса УДК или ББК и авторского знака. Укороченный индекс, введённый в</w:t>
      </w:r>
      <w:r>
        <w:t xml:space="preserve"> </w:t>
      </w:r>
      <w:r>
        <w:rPr>
          <w:rStyle w:val="VerbatimChar"/>
        </w:rPr>
        <w:t xml:space="preserve">906</w:t>
      </w:r>
      <w:r>
        <w:t xml:space="preserve">, не нужно повторять в полях УДК или ББК.</w:t>
      </w:r>
    </w:p>
    <w:p>
      <w:pPr>
        <w:pStyle w:val="BodyText"/>
      </w:pPr>
      <w:r>
        <w:t xml:space="preserve">Поле также используется, когда систематический шифр является вторым, дополнительным шифром, например при основной форматно-порядковой расстановке. Если шифр документа в БД не введён явно, он может строиться из систематического шифра и авторского знака.</w:t>
      </w:r>
    </w:p>
    <w:bookmarkEnd w:id="109"/>
    <w:bookmarkStart w:id="110" w:name="поле-908-авторский-знак"/>
    <w:p>
      <w:pPr>
        <w:pStyle w:val="Heading4"/>
      </w:pPr>
      <w:r>
        <w:t xml:space="preserve">61. Поле 908: авторский знак</w:t>
      </w:r>
    </w:p>
    <w:p>
      <w:pPr>
        <w:pStyle w:val="FirstParagraph"/>
      </w:pPr>
      <w:r>
        <w:t xml:space="preserve">Поле</w:t>
      </w:r>
      <w:r>
        <w:t xml:space="preserve"> </w:t>
      </w:r>
      <w:r>
        <w:rPr>
          <w:rStyle w:val="VerbatimChar"/>
        </w:rPr>
        <w:t xml:space="preserve">908</w:t>
      </w:r>
      <w:r>
        <w:t xml:space="preserve"> </w:t>
      </w:r>
      <w:r>
        <w:t xml:space="preserve">содержит авторский знак и может вводиться через справочник</w:t>
      </w:r>
      <w:r>
        <w:t xml:space="preserve"> </w:t>
      </w:r>
      <w:r>
        <w:rPr>
          <w:rStyle w:val="VerbatimChar"/>
        </w:rPr>
        <w:t xml:space="preserve">HAV.MNU</w:t>
      </w:r>
      <w:r>
        <w:t xml:space="preserve"> </w:t>
      </w:r>
      <w:r>
        <w:t xml:space="preserve">с таблицами Хавкиной. Система не контролирует значение авторского знака.</w:t>
      </w:r>
    </w:p>
    <w:p>
      <w:pPr>
        <w:pStyle w:val="BodyText"/>
      </w:pPr>
      <w:r>
        <w:t xml:space="preserve">Если шифр документа в БД отсутствует, а в записи есть УДК, ББК, индекс другой классификации или систематический шифр, при сохранении документа авторский знак может формироваться автоматически одновременно с шифром.</w:t>
      </w:r>
    </w:p>
    <w:p>
      <w:pPr>
        <w:pStyle w:val="BodyText"/>
      </w:pPr>
      <w:r>
        <w:t xml:space="preserve">Если библиотека не применяет авторский знак при формировании расстановочных шифров, автоматическое формирование можно отключить в параметре</w:t>
      </w:r>
      <w:r>
        <w:t xml:space="preserve"> </w:t>
      </w:r>
      <w:r>
        <w:rPr>
          <w:rStyle w:val="VerbatimChar"/>
        </w:rPr>
        <w:t xml:space="preserve">9</w:t>
      </w:r>
      <w:r>
        <w:t xml:space="preserve"> </w:t>
      </w:r>
      <w:r>
        <w:t xml:space="preserve">файла</w:t>
      </w:r>
      <w:r>
        <w:t xml:space="preserve"> </w:t>
      </w:r>
      <w:r>
        <w:rPr>
          <w:rStyle w:val="VerbatimChar"/>
        </w:rPr>
        <w:t xml:space="preserve">ORG.MNU</w:t>
      </w:r>
      <w:r>
        <w:t xml:space="preserve">.</w:t>
      </w:r>
    </w:p>
    <w:p>
      <w:pPr>
        <w:pStyle w:val="BodyText"/>
      </w:pPr>
      <w:r>
        <w:t xml:space="preserve">Авторский знак формируется по первому слову заголовка описания: автору, коллективному автору, заглавию, общей части многотомника, унифицированному заголовку формы или издателю юридического документа. Для отдельных случаев, например числительных в начале заглавия или биографических изданий, требуется корректная разметка заглавия. Часть правил не может быть выполнена автоматически и требует ручной корректировки авторского знака и шифра.</w:t>
      </w:r>
    </w:p>
    <w:bookmarkEnd w:id="110"/>
    <w:bookmarkStart w:id="111" w:name="поле-903-шифр-документа-в-бд"/>
    <w:p>
      <w:pPr>
        <w:pStyle w:val="Heading4"/>
      </w:pPr>
      <w:r>
        <w:t xml:space="preserve">62. Поле 903: шифр документа в БД</w:t>
      </w:r>
    </w:p>
    <w:p>
      <w:pPr>
        <w:pStyle w:val="FirstParagraph"/>
      </w:pPr>
      <w:r>
        <w:t xml:space="preserve">Поле</w:t>
      </w:r>
      <w:r>
        <w:t xml:space="preserve"> </w:t>
      </w:r>
      <w:r>
        <w:rPr>
          <w:rStyle w:val="VerbatimChar"/>
        </w:rPr>
        <w:t xml:space="preserve">903</w:t>
      </w:r>
      <w:r>
        <w:t xml:space="preserve"> </w:t>
      </w:r>
      <w:r>
        <w:t xml:space="preserve">содержит уникальный идентификатор документа в базе данных. Все экземпляры издания, записанные в одном документе, имеют один и тот же шифр.</w:t>
      </w:r>
    </w:p>
    <w:p>
      <w:pPr>
        <w:pStyle w:val="BodyText"/>
      </w:pPr>
      <w:r>
        <w:t xml:space="preserve">Возможны три основных подхода:</w:t>
      </w:r>
    </w:p>
    <w:p>
      <w:pPr>
        <w:pStyle w:val="Compact"/>
        <w:numPr>
          <w:ilvl w:val="0"/>
          <w:numId w:val="1026"/>
        </w:numPr>
      </w:pPr>
      <w:r>
        <w:t xml:space="preserve">библиотека сохраняет традиционную систему маркировки и переносит присвоенный шифр в запись;</w:t>
      </w:r>
    </w:p>
    <w:p>
      <w:pPr>
        <w:pStyle w:val="Compact"/>
        <w:numPr>
          <w:ilvl w:val="0"/>
          <w:numId w:val="1026"/>
        </w:numPr>
      </w:pPr>
      <w:r>
        <w:t xml:space="preserve">шифр строится на основе УДК, ББК, другой классификации или систематического шифра и авторского знака;</w:t>
      </w:r>
    </w:p>
    <w:p>
      <w:pPr>
        <w:pStyle w:val="Compact"/>
        <w:numPr>
          <w:ilvl w:val="0"/>
          <w:numId w:val="1026"/>
        </w:numPr>
      </w:pPr>
      <w:r>
        <w:t xml:space="preserve">библиотека не применяет содержательную систему шифровки, и шифр создаётся автоматически только как идентификатор записи.</w:t>
      </w:r>
    </w:p>
    <w:p>
      <w:pPr>
        <w:pStyle w:val="FirstParagraph"/>
      </w:pPr>
      <w:r>
        <w:t xml:space="preserve">Автоматически сформированный шифр дополняется случайным числом, чтобы обеспечить уникальность. Приоритет при формировании: систематический шифр, затем индекс другой классификации, затем УДК или ББК.</w:t>
      </w:r>
    </w:p>
    <w:p>
      <w:pPr>
        <w:pStyle w:val="BodyText"/>
      </w:pPr>
      <w:r>
        <w:t xml:space="preserve">Если каталогизатор меняет поля, участвующие в формировании шифра, нужно изменить и</w:t>
      </w:r>
      <w:r>
        <w:t xml:space="preserve"> </w:t>
      </w:r>
      <w:r>
        <w:rPr>
          <w:rStyle w:val="VerbatimChar"/>
        </w:rPr>
        <w:t xml:space="preserve">903</w:t>
      </w:r>
      <w:r>
        <w:t xml:space="preserve"> </w:t>
      </w:r>
      <w:r>
        <w:t xml:space="preserve">либо удалить его, чтобы система сформировала шифр заново. Для журналов шифр имеет особое значение: шифр отдельного номера строится из шифра издания в целом и нумерационных выходных данных.</w:t>
      </w:r>
    </w:p>
    <w:p>
      <w:pPr>
        <w:pStyle w:val="BodyText"/>
      </w:pPr>
      <w:r>
        <w:t xml:space="preserve">Шифр проверяется на дублетность и включается в поисковый словарь.</w:t>
      </w:r>
    </w:p>
    <w:bookmarkEnd w:id="111"/>
    <w:bookmarkStart w:id="112" w:name="поле-964-индексы-рубрикатора-грнти"/>
    <w:p>
      <w:pPr>
        <w:pStyle w:val="Heading4"/>
      </w:pPr>
      <w:r>
        <w:t xml:space="preserve">63. Поле 964: индексы Рубрикатора ГРНТИ</w:t>
      </w:r>
    </w:p>
    <w:p>
      <w:pPr>
        <w:pStyle w:val="FirstParagraph"/>
      </w:pPr>
      <w:r>
        <w:t xml:space="preserve">Поле</w:t>
      </w:r>
      <w:r>
        <w:t xml:space="preserve"> </w:t>
      </w:r>
      <w:r>
        <w:rPr>
          <w:rStyle w:val="VerbatimChar"/>
        </w:rPr>
        <w:t xml:space="preserve">964</w:t>
      </w:r>
      <w:r>
        <w:t xml:space="preserve"> </w:t>
      </w:r>
      <w:r>
        <w:t xml:space="preserve">содержит индексы Рубрикатора ГРНТИ. Использование ГРНТИ предполагается как средство тематического обмена между автоматизированными системами и контролируется диагностически. Контролируется также структура индекса: триады с двумя цифрами и точкой.</w:t>
      </w:r>
    </w:p>
    <w:p>
      <w:pPr>
        <w:pStyle w:val="BodyText"/>
      </w:pPr>
      <w:r>
        <w:t xml:space="preserve">В системе предусмотрены средства тематического поиска по Рубрикатору ГРНТИ, поэтому этот режим рассматривается как основной для тематического поиска.</w:t>
      </w:r>
    </w:p>
    <w:bookmarkEnd w:id="112"/>
    <w:bookmarkStart w:id="113" w:name="поле-60-раздел-знаний"/>
    <w:p>
      <w:pPr>
        <w:pStyle w:val="Heading4"/>
      </w:pPr>
      <w:r>
        <w:t xml:space="preserve">64. Поле 60: раздел знаний</w:t>
      </w:r>
    </w:p>
    <w:p>
      <w:pPr>
        <w:pStyle w:val="FirstParagraph"/>
      </w:pPr>
      <w:r>
        <w:t xml:space="preserve">Поле</w:t>
      </w:r>
      <w:r>
        <w:t xml:space="preserve"> </w:t>
      </w:r>
      <w:r>
        <w:rPr>
          <w:rStyle w:val="VerbatimChar"/>
        </w:rPr>
        <w:t xml:space="preserve">60</w:t>
      </w:r>
      <w:r>
        <w:t xml:space="preserve"> </w:t>
      </w:r>
      <w:r>
        <w:t xml:space="preserve">используется для укрупнённого анализа партии полученных изданий. Справочник</w:t>
      </w:r>
      <w:r>
        <w:t xml:space="preserve"> </w:t>
      </w:r>
      <w:r>
        <w:rPr>
          <w:rStyle w:val="VerbatimChar"/>
        </w:rPr>
        <w:t xml:space="preserve">rzn.mnu</w:t>
      </w:r>
      <w:r>
        <w:t xml:space="preserve"> </w:t>
      </w:r>
      <w:r>
        <w:t xml:space="preserve">содержит номера разделов и их пояснения; наполнение разделов пользователь может корректировать самостоятельно.</w:t>
      </w:r>
    </w:p>
    <w:p>
      <w:pPr>
        <w:pStyle w:val="BodyText"/>
      </w:pPr>
      <w:r>
        <w:t xml:space="preserve">В АРМе</w:t>
      </w:r>
      <w:r>
        <w:t xml:space="preserve"> </w:t>
      </w:r>
      <w:r>
        <w:rPr>
          <w:rStyle w:val="VerbatimChar"/>
        </w:rPr>
        <w:t xml:space="preserve">Комплектатор</w:t>
      </w:r>
      <w:r>
        <w:t xml:space="preserve"> </w:t>
      </w:r>
      <w:r>
        <w:t xml:space="preserve">анализ партии документов ведётся по коду раздела.</w:t>
      </w:r>
    </w:p>
    <w:bookmarkEnd w:id="113"/>
    <w:bookmarkStart w:id="114" w:name="Xe2b48aa3962efc849ee4f1bdb62784f0f5c0725"/>
    <w:p>
      <w:pPr>
        <w:pStyle w:val="Heading4"/>
      </w:pPr>
      <w:r>
        <w:t xml:space="preserve">65. Поля 606 и 607: предметные и географические рубрики</w:t>
      </w:r>
    </w:p>
    <w:p>
      <w:pPr>
        <w:pStyle w:val="FirstParagraph"/>
      </w:pPr>
      <w:r>
        <w:t xml:space="preserve">Поле</w:t>
      </w:r>
      <w:r>
        <w:t xml:space="preserve"> </w:t>
      </w:r>
      <w:r>
        <w:rPr>
          <w:rStyle w:val="VerbatimChar"/>
        </w:rPr>
        <w:t xml:space="preserve">606</w:t>
      </w:r>
      <w:r>
        <w:t xml:space="preserve"> </w:t>
      </w:r>
      <w:r>
        <w:t xml:space="preserve">содержит предметные рубрики, поле</w:t>
      </w:r>
      <w:r>
        <w:t xml:space="preserve"> </w:t>
      </w:r>
      <w:r>
        <w:rPr>
          <w:rStyle w:val="VerbatimChar"/>
        </w:rPr>
        <w:t xml:space="preserve">607</w:t>
      </w:r>
      <w:r>
        <w:t xml:space="preserve"> </w:t>
      </w:r>
      <w:r>
        <w:t xml:space="preserve">- географические рубрики. В них указываются код системы предметизации, ввод через авторитетный файл, заголовок, тематические, географические, хронологические и формальные подзаголовки, роль добавочной карточки и индексы ББК из авторитетного файла.</w:t>
      </w:r>
    </w:p>
    <w:p>
      <w:pPr>
        <w:pStyle w:val="BodyText"/>
      </w:pPr>
      <w:r>
        <w:t xml:space="preserve">Поля повторяются и предназначены для отражения содержания политематических документов. В поисковый словарь выводится полная рубрика, где подзаголовки разделяются строкой</w:t>
      </w:r>
      <w:r>
        <w:t xml:space="preserve"> </w:t>
      </w:r>
      <w:r>
        <w:rPr>
          <w:rStyle w:val="VerbatimChar"/>
        </w:rPr>
        <w:t xml:space="preserve">--</w:t>
      </w:r>
      <w:r>
        <w:t xml:space="preserve">, а также отдельные слова в словарь ключевых слов.</w:t>
      </w:r>
    </w:p>
    <w:p>
      <w:pPr>
        <w:pStyle w:val="BodyText"/>
      </w:pPr>
      <w:r>
        <w:t xml:space="preserve">При использовании авторитетного файла вместе с рубрикой могут переноситься индексы ББК, которые при сохранении документа вводятся в поля ББК.</w:t>
      </w:r>
    </w:p>
    <w:p>
      <w:pPr>
        <w:pStyle w:val="BodyText"/>
      </w:pPr>
      <w:r>
        <w:t xml:space="preserve">Тематические, географические и хронологические подзаголовки также выводятся в частные словари подзаголовков. Если у предметного подзаголовка есть собственные хронологические, географические или формальные подзаголовки, следует создавать отдельные последовательные повторения поля.</w:t>
      </w:r>
    </w:p>
    <w:p>
      <w:pPr>
        <w:pStyle w:val="BodyText"/>
      </w:pPr>
      <w:r>
        <w:t xml:space="preserve">Если при выборе из словаря предметных рубрик выбран термин, который относится к имени лица, коллективу или заглавию произведения, система может указать, что такие данные нужно вводить в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w:t>
      </w:r>
    </w:p>
    <w:bookmarkEnd w:id="114"/>
    <w:bookmarkStart w:id="115" w:name="поле-690-издательский-индекс"/>
    <w:p>
      <w:pPr>
        <w:pStyle w:val="Heading4"/>
      </w:pPr>
      <w:r>
        <w:t xml:space="preserve">66. Поле 690: издательский индекс</w:t>
      </w:r>
    </w:p>
    <w:p>
      <w:pPr>
        <w:pStyle w:val="FirstParagraph"/>
      </w:pPr>
      <w:r>
        <w:t xml:space="preserve">Поле</w:t>
      </w:r>
      <w:r>
        <w:t xml:space="preserve"> </w:t>
      </w:r>
      <w:r>
        <w:rPr>
          <w:rStyle w:val="VerbatimChar"/>
        </w:rPr>
        <w:t xml:space="preserve">690</w:t>
      </w:r>
      <w:r>
        <w:t xml:space="preserve"> </w:t>
      </w:r>
      <w:r>
        <w:t xml:space="preserve">содержит издательский индекс и вводится через иерархический справочник. Индекс определяет раздел, в котором документ должен быть выведен в систематический указатель.</w:t>
      </w:r>
    </w:p>
    <w:bookmarkEnd w:id="115"/>
    <w:bookmarkStart w:id="116" w:name="поле-965-дескрипторы"/>
    <w:p>
      <w:pPr>
        <w:pStyle w:val="Heading4"/>
      </w:pPr>
      <w:r>
        <w:t xml:space="preserve">67. Поле 965: дескрипторы</w:t>
      </w:r>
    </w:p>
    <w:p>
      <w:pPr>
        <w:pStyle w:val="FirstParagraph"/>
      </w:pPr>
      <w:r>
        <w:t xml:space="preserve">Поле</w:t>
      </w:r>
      <w:r>
        <w:t xml:space="preserve"> </w:t>
      </w:r>
      <w:r>
        <w:rPr>
          <w:rStyle w:val="VerbatimChar"/>
        </w:rPr>
        <w:t xml:space="preserve">965</w:t>
      </w:r>
      <w:r>
        <w:t xml:space="preserve"> </w:t>
      </w:r>
      <w:r>
        <w:t xml:space="preserve">заполняется по тезаурусу, который пользователь разрабатывает самостоятельно. В дистрибутиве готовый тезаурус отсутствует.</w:t>
      </w:r>
    </w:p>
    <w:bookmarkEnd w:id="116"/>
    <w:bookmarkStart w:id="117" w:name="поле-610-ненормированные-ключевые-слова"/>
    <w:p>
      <w:pPr>
        <w:pStyle w:val="Heading4"/>
      </w:pPr>
      <w:r>
        <w:t xml:space="preserve">68. Поле 610: ненормированные ключевые слова</w:t>
      </w:r>
    </w:p>
    <w:p>
      <w:pPr>
        <w:pStyle w:val="FirstParagraph"/>
      </w:pPr>
      <w:r>
        <w:t xml:space="preserve">Поле</w:t>
      </w:r>
      <w:r>
        <w:t xml:space="preserve"> </w:t>
      </w:r>
      <w:r>
        <w:rPr>
          <w:rStyle w:val="VerbatimChar"/>
        </w:rPr>
        <w:t xml:space="preserve">610</w:t>
      </w:r>
      <w:r>
        <w:t xml:space="preserve"> </w:t>
      </w:r>
      <w:r>
        <w:t xml:space="preserve">повторяется и заполняется в свободной форме без контроля системой. В него имеет смысл вводить только те слова, которые не встречаются в библиографических полях.</w:t>
      </w:r>
    </w:p>
    <w:p>
      <w:pPr>
        <w:pStyle w:val="BodyText"/>
      </w:pPr>
      <w:r>
        <w:t xml:space="preserve">В словаре ключевых слов формируются:</w:t>
      </w:r>
    </w:p>
    <w:p>
      <w:pPr>
        <w:pStyle w:val="Compact"/>
        <w:numPr>
          <w:ilvl w:val="0"/>
          <w:numId w:val="1027"/>
        </w:numPr>
      </w:pPr>
      <w:r>
        <w:t xml:space="preserve">поле целиком, если в нём есть пробел;</w:t>
      </w:r>
    </w:p>
    <w:p>
      <w:pPr>
        <w:pStyle w:val="Compact"/>
        <w:numPr>
          <w:ilvl w:val="0"/>
          <w:numId w:val="1027"/>
        </w:numPr>
      </w:pPr>
      <w:r>
        <w:t xml:space="preserve">отдельные слова;</w:t>
      </w:r>
    </w:p>
    <w:p>
      <w:pPr>
        <w:pStyle w:val="Compact"/>
        <w:numPr>
          <w:ilvl w:val="0"/>
          <w:numId w:val="1027"/>
        </w:numPr>
      </w:pPr>
      <w:r>
        <w:t xml:space="preserve">слова и словосочетания в угловых скобках, например марки изделий с цифрами.</w:t>
      </w:r>
    </w:p>
    <w:p>
      <w:pPr>
        <w:pStyle w:val="FirstParagraph"/>
      </w:pPr>
      <w:r>
        <w:t xml:space="preserve">Ключевые слова можно вводить из словаря в режиме мультиввода в повторяющиеся поля или добавлять отдельные слова в одно повторение. Введённые из словаря ключевые слова записываются прописными буквами, а их вывод в форматах управляется настройками.</w:t>
      </w:r>
    </w:p>
    <w:bookmarkEnd w:id="117"/>
    <w:bookmarkStart w:id="118" w:name="X4180c183ea5a1026be2cbd2d7a4a1e4c0d926ed"/>
    <w:p>
      <w:pPr>
        <w:pStyle w:val="Heading4"/>
      </w:pPr>
      <w:r>
        <w:t xml:space="preserve">69. Поле 600: персоналия, имя лица и заглавие как предмет</w:t>
      </w:r>
    </w:p>
    <w:p>
      <w:pPr>
        <w:pStyle w:val="FirstParagraph"/>
      </w:pPr>
      <w:r>
        <w:t xml:space="preserve">Поле</w:t>
      </w:r>
      <w:r>
        <w:t xml:space="preserve"> </w:t>
      </w:r>
      <w:r>
        <w:rPr>
          <w:rStyle w:val="VerbatimChar"/>
        </w:rPr>
        <w:t xml:space="preserve">600</w:t>
      </w:r>
      <w:r>
        <w:t xml:space="preserve"> </w:t>
      </w:r>
      <w:r>
        <w:t xml:space="preserve">содержит сведения о лице, заглавии произведения или сочетании имени лица и заглавия, которые рассматриваются в каталогизируемом документе. Эти данные могут выступать как персоналия или как предметная рубрика.</w:t>
      </w:r>
    </w:p>
    <w:p>
      <w:pPr>
        <w:pStyle w:val="BodyText"/>
      </w:pPr>
      <w:r>
        <w:t xml:space="preserve">В поле могут вводиться:</w:t>
      </w:r>
    </w:p>
    <w:p>
      <w:pPr>
        <w:pStyle w:val="Compact"/>
        <w:numPr>
          <w:ilvl w:val="0"/>
          <w:numId w:val="1028"/>
        </w:numPr>
      </w:pPr>
      <w:r>
        <w:t xml:space="preserve">вид данных;</w:t>
      </w:r>
    </w:p>
    <w:p>
      <w:pPr>
        <w:pStyle w:val="Compact"/>
        <w:numPr>
          <w:ilvl w:val="0"/>
          <w:numId w:val="1028"/>
        </w:numPr>
      </w:pPr>
      <w:r>
        <w:t xml:space="preserve">признак</w:t>
      </w:r>
      <w:r>
        <w:t xml:space="preserve"> </w:t>
      </w:r>
      <w:r>
        <w:rPr>
          <w:rStyle w:val="VerbatimChar"/>
        </w:rPr>
        <w:t xml:space="preserve">Текст</w:t>
      </w:r>
      <w:r>
        <w:t xml:space="preserve">, определяющий персоналию;</w:t>
      </w:r>
    </w:p>
    <w:p>
      <w:pPr>
        <w:pStyle w:val="Compact"/>
        <w:numPr>
          <w:ilvl w:val="0"/>
          <w:numId w:val="1028"/>
        </w:numPr>
      </w:pPr>
      <w:r>
        <w:t xml:space="preserve">имя лица с тем же набором данных, что в авторских полях;</w:t>
      </w:r>
    </w:p>
    <w:p>
      <w:pPr>
        <w:pStyle w:val="Compact"/>
        <w:numPr>
          <w:ilvl w:val="0"/>
          <w:numId w:val="1028"/>
        </w:numPr>
      </w:pPr>
      <w:r>
        <w:t xml:space="preserve">тематические, географические, хронологические и формальные подзаголовки;</w:t>
      </w:r>
    </w:p>
    <w:p>
      <w:pPr>
        <w:pStyle w:val="Compact"/>
        <w:numPr>
          <w:ilvl w:val="0"/>
          <w:numId w:val="1028"/>
        </w:numPr>
      </w:pPr>
      <w:r>
        <w:t xml:space="preserve">заглавие как предмет;</w:t>
      </w:r>
    </w:p>
    <w:p>
      <w:pPr>
        <w:pStyle w:val="Compact"/>
        <w:numPr>
          <w:ilvl w:val="0"/>
          <w:numId w:val="1028"/>
        </w:numPr>
      </w:pPr>
      <w:r>
        <w:t xml:space="preserve">сведения о музыкальном произведении;</w:t>
      </w:r>
    </w:p>
    <w:p>
      <w:pPr>
        <w:pStyle w:val="Compact"/>
        <w:numPr>
          <w:ilvl w:val="0"/>
          <w:numId w:val="1028"/>
        </w:numPr>
      </w:pPr>
      <w:r>
        <w:t xml:space="preserve">ссылка на документ в базе или имя другой базы.</w:t>
      </w:r>
    </w:p>
    <w:p>
      <w:pPr>
        <w:pStyle w:val="FirstParagraph"/>
      </w:pPr>
      <w:r>
        <w:t xml:space="preserve">Если элемент</w:t>
      </w:r>
      <w:r>
        <w:t xml:space="preserve"> </w:t>
      </w:r>
      <w:r>
        <w:rPr>
          <w:rStyle w:val="VerbatimChar"/>
        </w:rPr>
        <w:t xml:space="preserve">Текст</w:t>
      </w:r>
      <w:r>
        <w:t xml:space="preserve"> </w:t>
      </w:r>
      <w:r>
        <w:t xml:space="preserve">заполнен, данные трактуются как персоналия: имя лица и/или заглавие включаются в словарь персоналий, а в выходных форматах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имя лица включается в словарь авторов, а рубрика</w:t>
      </w:r>
      <w:r>
        <w:t xml:space="preserve"> </w:t>
      </w:r>
      <w:r>
        <w:rPr>
          <w:rStyle w:val="VerbatimChar"/>
        </w:rPr>
        <w:t xml:space="preserve">имя лица и/или заглавие</w:t>
      </w:r>
      <w:r>
        <w:t xml:space="preserve"> </w:t>
      </w:r>
      <w:r>
        <w:t xml:space="preserve">пополняет словарь предметных рубрик и выводится в области рубрик.</w:t>
      </w:r>
    </w:p>
    <w:p>
      <w:pPr>
        <w:pStyle w:val="BodyText"/>
      </w:pPr>
      <w:r>
        <w:t xml:space="preserve">Вид данных определяет, что именно вводится в поле: имя лица, родовое имя, заглавие или имя вместе с заглавием. Для сложных фамилий можно указать, допустимо ли инвертирование ФИО или сколько слов составляет фамилию.</w:t>
      </w:r>
    </w:p>
    <w:p>
      <w:pPr>
        <w:pStyle w:val="BodyText"/>
      </w:pPr>
      <w:r>
        <w:t xml:space="preserve">Заглавие как предмет может быть введено набором подполей или ссылкой на полную запись в базе. Если полной записи нет, можно сформировать встроенную запись с рабочим листом</w:t>
      </w:r>
      <w:r>
        <w:t xml:space="preserve"> </w:t>
      </w:r>
      <w:r>
        <w:rPr>
          <w:rStyle w:val="VerbatimChar"/>
        </w:rPr>
        <w:t xml:space="preserve">BOUNI</w:t>
      </w:r>
      <w:r>
        <w:t xml:space="preserve">: для этого в служебном поле</w:t>
      </w:r>
      <w:r>
        <w:t xml:space="preserve"> </w:t>
      </w:r>
      <w:r>
        <w:rPr>
          <w:rStyle w:val="VerbatimChar"/>
        </w:rPr>
        <w:t xml:space="preserve">932</w:t>
      </w:r>
      <w:r>
        <w:t xml:space="preserve"> </w:t>
      </w:r>
      <w:r>
        <w:t xml:space="preserve">указывается номер повторения поля</w:t>
      </w:r>
      <w:r>
        <w:t xml:space="preserve"> </w:t>
      </w:r>
      <w:r>
        <w:rPr>
          <w:rStyle w:val="VerbatimChar"/>
        </w:rPr>
        <w:t xml:space="preserve">600</w:t>
      </w:r>
      <w:r>
        <w:t xml:space="preserve">, по которому должна быть создана встроенная запись.</w:t>
      </w:r>
    </w:p>
    <w:bookmarkEnd w:id="118"/>
    <w:bookmarkStart w:id="119" w:name="Xa13d317ffb58e6d7b963b5c0269ac97c94e4f4b"/>
    <w:p>
      <w:pPr>
        <w:pStyle w:val="Heading4"/>
      </w:pPr>
      <w:r>
        <w:t xml:space="preserve">70. Поле 601: персоналия, коллектив и заглавие как предмет</w:t>
      </w:r>
    </w:p>
    <w:p>
      <w:pPr>
        <w:pStyle w:val="FirstParagraph"/>
      </w:pPr>
      <w:r>
        <w:t xml:space="preserve">Поле</w:t>
      </w:r>
      <w:r>
        <w:t xml:space="preserve"> </w:t>
      </w:r>
      <w:r>
        <w:rPr>
          <w:rStyle w:val="VerbatimChar"/>
        </w:rPr>
        <w:t xml:space="preserve">601</w:t>
      </w:r>
      <w:r>
        <w:t xml:space="preserve"> </w:t>
      </w:r>
      <w:r>
        <w:t xml:space="preserve">содержит сведения о коллективе или о коллективе и заглавии произведения, рассматриваемых в документе. Как и</w:t>
      </w:r>
      <w:r>
        <w:t xml:space="preserve"> </w:t>
      </w:r>
      <w:r>
        <w:rPr>
          <w:rStyle w:val="VerbatimChar"/>
        </w:rPr>
        <w:t xml:space="preserve">600</w:t>
      </w:r>
      <w:r>
        <w:t xml:space="preserve">, поле может использоваться для персоналий или для предметных рубрик.</w:t>
      </w:r>
    </w:p>
    <w:p>
      <w:pPr>
        <w:pStyle w:val="BodyText"/>
      </w:pPr>
      <w:r>
        <w:t xml:space="preserve">В поле вводятся данные постоянного или временного коллектива, подзаголовки предметной рубрики, заглавие как предмет, сведения о музыкальном произведении и ссылка на документ в базе.</w:t>
      </w:r>
    </w:p>
    <w:p>
      <w:pPr>
        <w:pStyle w:val="BodyText"/>
      </w:pPr>
      <w:r>
        <w:t xml:space="preserve">Если элемент</w:t>
      </w:r>
      <w:r>
        <w:t xml:space="preserve"> </w:t>
      </w:r>
      <w:r>
        <w:rPr>
          <w:rStyle w:val="VerbatimChar"/>
        </w:rPr>
        <w:t xml:space="preserve">Текст</w:t>
      </w:r>
      <w:r>
        <w:t xml:space="preserve"> </w:t>
      </w:r>
      <w:r>
        <w:t xml:space="preserve">заполнен, коллектив и/или заглавие включаются в словарь персоналий и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коллектив включается в словарь коллективов, а рубрика</w:t>
      </w:r>
      <w:r>
        <w:t xml:space="preserve"> </w:t>
      </w:r>
      <w:r>
        <w:rPr>
          <w:rStyle w:val="VerbatimChar"/>
        </w:rPr>
        <w:t xml:space="preserve">коллектив</w:t>
      </w:r>
      <w:r>
        <w:t xml:space="preserve"> </w:t>
      </w:r>
      <w:r>
        <w:t xml:space="preserve">или</w:t>
      </w:r>
      <w:r>
        <w:t xml:space="preserve"> </w:t>
      </w:r>
      <w:r>
        <w:rPr>
          <w:rStyle w:val="VerbatimChar"/>
        </w:rPr>
        <w:t xml:space="preserve">коллектив и заглавие</w:t>
      </w:r>
      <w:r>
        <w:t xml:space="preserve"> </w:t>
      </w:r>
      <w:r>
        <w:t xml:space="preserve">пополняет словарь предметных рубрик и выводится в области рубрик.</w:t>
      </w:r>
    </w:p>
    <w:p>
      <w:pPr>
        <w:pStyle w:val="BodyText"/>
      </w:pPr>
      <w:r>
        <w:t xml:space="preserve">Заглавие как предмет в</w:t>
      </w:r>
      <w:r>
        <w:t xml:space="preserve"> </w:t>
      </w:r>
      <w:r>
        <w:rPr>
          <w:rStyle w:val="VerbatimChar"/>
        </w:rPr>
        <w:t xml:space="preserve">601</w:t>
      </w:r>
      <w:r>
        <w:t xml:space="preserve"> </w:t>
      </w:r>
      <w:r>
        <w:t xml:space="preserve">может быть введено только вместе с коллективом. При необходимости полного библиографического описания предметного документа может формироваться встроенная запись по той же технологии, что и для</w:t>
      </w:r>
      <w:r>
        <w:t xml:space="preserve"> </w:t>
      </w:r>
      <w:r>
        <w:rPr>
          <w:rStyle w:val="VerbatimChar"/>
        </w:rPr>
        <w:t xml:space="preserve">600</w:t>
      </w:r>
      <w:r>
        <w:t xml:space="preserve">, но в поле</w:t>
      </w:r>
      <w:r>
        <w:t xml:space="preserve"> </w:t>
      </w:r>
      <w:r>
        <w:rPr>
          <w:rStyle w:val="VerbatimChar"/>
        </w:rPr>
        <w:t xml:space="preserve">932</w:t>
      </w:r>
      <w:r>
        <w:t xml:space="preserve"> </w:t>
      </w:r>
      <w:r>
        <w:t xml:space="preserve">указывается номер повторения</w:t>
      </w:r>
      <w:r>
        <w:t xml:space="preserve"> </w:t>
      </w:r>
      <w:r>
        <w:rPr>
          <w:rStyle w:val="VerbatimChar"/>
        </w:rPr>
        <w:t xml:space="preserve">601</w:t>
      </w:r>
      <w:r>
        <w:t xml:space="preserve">.</w:t>
      </w:r>
    </w:p>
    <w:bookmarkEnd w:id="119"/>
    <w:bookmarkStart w:id="120" w:name="поле-331-аннотация"/>
    <w:p>
      <w:pPr>
        <w:pStyle w:val="Heading4"/>
      </w:pPr>
      <w:r>
        <w:t xml:space="preserve">71. Поле 331: аннотация</w:t>
      </w:r>
    </w:p>
    <w:p>
      <w:pPr>
        <w:pStyle w:val="FirstParagraph"/>
      </w:pPr>
      <w:r>
        <w:t xml:space="preserve">Поле</w:t>
      </w:r>
      <w:r>
        <w:t xml:space="preserve"> </w:t>
      </w:r>
      <w:r>
        <w:rPr>
          <w:rStyle w:val="VerbatimChar"/>
        </w:rPr>
        <w:t xml:space="preserve">331</w:t>
      </w:r>
      <w:r>
        <w:t xml:space="preserve"> </w:t>
      </w:r>
      <w:r>
        <w:t xml:space="preserve">содержит аннотацию. В формате просмотра она выводится безусловно, а на основных каталожных карточках - по правилам настройки и характера документа.</w:t>
      </w:r>
    </w:p>
    <w:p>
      <w:pPr>
        <w:pStyle w:val="BodyText"/>
      </w:pPr>
      <w:r>
        <w:t xml:space="preserve">Аннотация вводится через многострочное окно. Если в выходном документе аннотацию нужно представить абзацами, каждый абзац вводится как отдельное повторение поля. В словарь ключевых слов включаются специально размеченные слова и словосочетания, заключённые в угловые скобки.</w:t>
      </w:r>
    </w:p>
    <w:bookmarkEnd w:id="120"/>
    <w:bookmarkStart w:id="121" w:name="поле-619-разделённые-подрубрики"/>
    <w:p>
      <w:pPr>
        <w:pStyle w:val="Heading4"/>
      </w:pPr>
      <w:r>
        <w:t xml:space="preserve">72. Поле 619: разделённые подрубрики</w:t>
      </w:r>
    </w:p>
    <w:p>
      <w:pPr>
        <w:pStyle w:val="FirstParagraph"/>
      </w:pPr>
      <w:r>
        <w:t xml:space="preserve">Поле</w:t>
      </w:r>
      <w:r>
        <w:t xml:space="preserve"> </w:t>
      </w:r>
      <w:r>
        <w:rPr>
          <w:rStyle w:val="VerbatimChar"/>
        </w:rPr>
        <w:t xml:space="preserve">619</w:t>
      </w:r>
      <w:r>
        <w:t xml:space="preserve"> </w:t>
      </w:r>
      <w:r>
        <w:t xml:space="preserve">формируется автоматически из полей</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 </w:t>
      </w:r>
      <w:r>
        <w:t xml:space="preserve">и</w:t>
      </w:r>
      <w:r>
        <w:t xml:space="preserve"> </w:t>
      </w:r>
      <w:r>
        <w:rPr>
          <w:rStyle w:val="VerbatimChar"/>
        </w:rPr>
        <w:t xml:space="preserve">601</w:t>
      </w:r>
      <w:r>
        <w:t xml:space="preserve">, когда в последнем повторении тематического, географического или хронологического подзаголовка введено несколько значений, разделённых строкой</w:t>
      </w:r>
      <w:r>
        <w:t xml:space="preserve"> </w:t>
      </w:r>
      <w:r>
        <w:rPr>
          <w:rStyle w:val="VerbatimChar"/>
        </w:rPr>
        <w:t xml:space="preserve">;</w:t>
      </w:r>
      <w:r>
        <w:t xml:space="preserve">.</w:t>
      </w:r>
    </w:p>
    <w:p>
      <w:pPr>
        <w:pStyle w:val="BodyText"/>
      </w:pPr>
      <w:r>
        <w:t xml:space="preserve">При сохранении документа каждое значение переносится в отдельное повторение</w:t>
      </w:r>
      <w:r>
        <w:t xml:space="preserve"> </w:t>
      </w:r>
      <w:r>
        <w:rPr>
          <w:rStyle w:val="VerbatimChar"/>
        </w:rPr>
        <w:t xml:space="preserve">619</w:t>
      </w:r>
      <w:r>
        <w:t xml:space="preserve"> </w:t>
      </w:r>
      <w:r>
        <w:t xml:space="preserve">и оттуда включается в словарь соответствующего подзаголовка.</w:t>
      </w:r>
    </w:p>
    <w:bookmarkEnd w:id="121"/>
    <w:bookmarkStart w:id="122" w:name="Xb4f10c8d4ce9567538294ac6e65c28e67c662a3"/>
    <w:p>
      <w:pPr>
        <w:pStyle w:val="Heading4"/>
      </w:pPr>
      <w:r>
        <w:t xml:space="preserve">73. Поле 932: номер поля 600 или 601 для копирования</w:t>
      </w:r>
    </w:p>
    <w:p>
      <w:pPr>
        <w:pStyle w:val="FirstParagraph"/>
      </w:pPr>
      <w:r>
        <w:t xml:space="preserve">Поле</w:t>
      </w:r>
      <w:r>
        <w:t xml:space="preserve"> </w:t>
      </w:r>
      <w:r>
        <w:rPr>
          <w:rStyle w:val="VerbatimChar"/>
        </w:rPr>
        <w:t xml:space="preserve">932</w:t>
      </w:r>
      <w:r>
        <w:t xml:space="preserve"> </w:t>
      </w:r>
      <w:r>
        <w:t xml:space="preserve">является служебным. В нём указывается номер повторения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 для которого копированием должна быть сформирована встроенная запись.</w:t>
      </w:r>
    </w:p>
    <w:bookmarkEnd w:id="122"/>
    <w:bookmarkStart w:id="123" w:name="поля-996-и-995-mesh"/>
    <w:p>
      <w:pPr>
        <w:pStyle w:val="Heading4"/>
      </w:pPr>
      <w:r>
        <w:t xml:space="preserve">74. Поля 996 и 995: MeSH</w:t>
      </w:r>
    </w:p>
    <w:p>
      <w:pPr>
        <w:pStyle w:val="FirstParagraph"/>
      </w:pPr>
      <w:r>
        <w:t xml:space="preserve">Поля</w:t>
      </w:r>
      <w:r>
        <w:t xml:space="preserve"> </w:t>
      </w:r>
      <w:r>
        <w:rPr>
          <w:rStyle w:val="VerbatimChar"/>
        </w:rPr>
        <w:t xml:space="preserve">996</w:t>
      </w:r>
      <w:r>
        <w:t xml:space="preserve"> </w:t>
      </w:r>
      <w:r>
        <w:t xml:space="preserve">и</w:t>
      </w:r>
      <w:r>
        <w:t xml:space="preserve"> </w:t>
      </w:r>
      <w:r>
        <w:rPr>
          <w:rStyle w:val="VerbatimChar"/>
        </w:rPr>
        <w:t xml:space="preserve">995</w:t>
      </w:r>
      <w:r>
        <w:t xml:space="preserve"> </w:t>
      </w:r>
      <w:r>
        <w:t xml:space="preserve">используются в базах медицинской информации для главных и неглавных рубрик MeSH. Они заполняются по медицинскому тезаурусу</w:t>
      </w:r>
      <w:r>
        <w:t xml:space="preserve"> </w:t>
      </w:r>
      <w:r>
        <w:rPr>
          <w:rStyle w:val="VerbatimChar"/>
        </w:rPr>
        <w:t xml:space="preserve">MeSH</w:t>
      </w:r>
      <w:r>
        <w:t xml:space="preserve">, который пользователь приобретает самостоятельно; в дистрибутиве он отсутствует.</w:t>
      </w:r>
    </w:p>
    <w:bookmarkEnd w:id="123"/>
    <w:bookmarkStart w:id="124" w:name="страница-рл-содержание"/>
    <w:p>
      <w:pPr>
        <w:pStyle w:val="Heading4"/>
      </w:pPr>
      <w:r>
        <w:t xml:space="preserve">75. Страница РЛ</w:t>
      </w:r>
      <w:r>
        <w:t xml:space="preserve"> </w:t>
      </w:r>
      <w:r>
        <w:rPr>
          <w:rStyle w:val="VerbatimChar"/>
        </w:rPr>
        <w:t xml:space="preserve">Содержание</w:t>
      </w:r>
    </w:p>
    <w:p>
      <w:pPr>
        <w:pStyle w:val="FirstParagraph"/>
      </w:pPr>
      <w:r>
        <w:t xml:space="preserve">Страница</w:t>
      </w:r>
      <w:r>
        <w:t xml:space="preserve"> </w:t>
      </w:r>
      <w:r>
        <w:rPr>
          <w:rStyle w:val="VerbatimChar"/>
        </w:rPr>
        <w:t xml:space="preserve">Содержание</w:t>
      </w:r>
      <w:r>
        <w:t xml:space="preserve"> </w:t>
      </w:r>
      <w:r>
        <w:t xml:space="preserve">используется для ввода содержания сборника или оглавления выпуска журнала.</w:t>
      </w:r>
    </w:p>
    <w:bookmarkEnd w:id="124"/>
    <w:bookmarkStart w:id="125" w:name="X2a7d17bbb6f390d573e2bb968933f41facb1d93"/>
    <w:p>
      <w:pPr>
        <w:pStyle w:val="Heading4"/>
      </w:pPr>
      <w:r>
        <w:t xml:space="preserve">76. Поля 330 и 922: содержание сборника и оглавление выпуска журнала</w:t>
      </w:r>
    </w:p>
    <w:p>
      <w:pPr>
        <w:pStyle w:val="FirstParagraph"/>
      </w:pPr>
      <w:r>
        <w:t xml:space="preserve">Поле</w:t>
      </w:r>
      <w:r>
        <w:t xml:space="preserve"> </w:t>
      </w:r>
      <w:r>
        <w:rPr>
          <w:rStyle w:val="VerbatimChar"/>
        </w:rPr>
        <w:t xml:space="preserve">330</w:t>
      </w:r>
      <w:r>
        <w:t xml:space="preserve"> </w:t>
      </w:r>
      <w:r>
        <w:t xml:space="preserve">используется для содержания книжного сборника. Поле</w:t>
      </w:r>
      <w:r>
        <w:t xml:space="preserve"> </w:t>
      </w:r>
      <w:r>
        <w:rPr>
          <w:rStyle w:val="VerbatimChar"/>
        </w:rPr>
        <w:t xml:space="preserve">922</w:t>
      </w:r>
      <w:r>
        <w:t xml:space="preserve"> </w:t>
      </w:r>
      <w:r>
        <w:t xml:space="preserve">используется для оглавления выпуска журнала.</w:t>
      </w:r>
    </w:p>
    <w:p>
      <w:pPr>
        <w:pStyle w:val="BodyText"/>
      </w:pPr>
      <w:r>
        <w:t xml:space="preserve">В этих полях представляются сведения об интересных или всех статьях сборника либо выпуска журнала в форме оглавления. Для каждой статьи могут вводиться авторы, другие авторы, заглавие, параллельное заглавие, сведения к заглавию, сведения об ответственности, страницы, иллюстрации, примечания о библиографии, ключевые слова и издательский индекс.</w:t>
      </w:r>
    </w:p>
    <w:p>
      <w:pPr>
        <w:pStyle w:val="BodyText"/>
      </w:pPr>
      <w:r>
        <w:t xml:space="preserve">Индивидуальные авторы вводятся по тем же правилам, что и в основных авторских полях: через словарь авторов, авторитетный файл или с клавиатуры. Для сложных фамилий можно указать, допустимо ли инвертирование ФИО или сколько слов составляет фамилию.</w:t>
      </w:r>
    </w:p>
    <w:p>
      <w:pPr>
        <w:pStyle w:val="BodyText"/>
      </w:pPr>
      <w:r>
        <w:t xml:space="preserve">Элемент</w:t>
      </w:r>
      <w:r>
        <w:t xml:space="preserve"> </w:t>
      </w:r>
      <w:r>
        <w:rPr>
          <w:rStyle w:val="VerbatimChar"/>
        </w:rPr>
        <w:t xml:space="preserve">Другие авторы</w:t>
      </w:r>
      <w:r>
        <w:t xml:space="preserve"> </w:t>
      </w:r>
      <w:r>
        <w:t xml:space="preserve">позволяет ввести четвёртого и последующих авторов в кумулированном виде. При сохранении документа каждый такой автор переносится в автоматически формируемые поля</w:t>
      </w:r>
      <w:r>
        <w:t xml:space="preserve"> </w:t>
      </w:r>
      <w:r>
        <w:rPr>
          <w:rStyle w:val="VerbatimChar"/>
        </w:rPr>
        <w:t xml:space="preserve">926</w:t>
      </w:r>
      <w:r>
        <w:t xml:space="preserve">, структура которых аналогична авторским полям.</w:t>
      </w:r>
    </w:p>
    <w:p>
      <w:pPr>
        <w:pStyle w:val="BodyText"/>
      </w:pPr>
      <w:r>
        <w:t xml:space="preserve">Если в оглавлении выделены разделы, можно использовать роль</w:t>
      </w:r>
      <w:r>
        <w:t xml:space="preserve"> </w:t>
      </w:r>
      <w:r>
        <w:rPr>
          <w:rStyle w:val="VerbatimChar"/>
        </w:rPr>
        <w:t xml:space="preserve">Номер раздела / относится к разделу</w:t>
      </w:r>
      <w:r>
        <w:t xml:space="preserve">. Заголовкам разделов присваиваются последовательные номера, а у статей указывается принадлежность к соответствующему разделу. Для статей внутри раздела можно дополнительно указать собственную нумерацию через</w:t>
      </w:r>
      <w:r>
        <w:t xml:space="preserve"> </w:t>
      </w:r>
      <w:r>
        <w:rPr>
          <w:rStyle w:val="VerbatimChar"/>
        </w:rPr>
        <w:t xml:space="preserve">/</w:t>
      </w:r>
      <w:r>
        <w:t xml:space="preserve">.</w:t>
      </w:r>
    </w:p>
    <w:p>
      <w:pPr>
        <w:pStyle w:val="BodyText"/>
      </w:pPr>
      <w:r>
        <w:t xml:space="preserve">Для краткого вывода повторяющихся данных применяются специальные разметки:</w:t>
      </w:r>
    </w:p>
    <w:p>
      <w:pPr>
        <w:pStyle w:val="Compact"/>
        <w:numPr>
          <w:ilvl w:val="0"/>
          <w:numId w:val="1029"/>
        </w:numPr>
      </w:pPr>
      <w:r>
        <w:t xml:space="preserve">автора, повторяющегося в нескольких статьях одного раздела, можно ввести в каждой статье, но скрыть при просмотре с помощью разметки вида</w:t>
      </w:r>
      <w:r>
        <w:t xml:space="preserve"> </w:t>
      </w:r>
      <w:r>
        <w:rPr>
          <w:rStyle w:val="VerbatimChar"/>
        </w:rPr>
        <w:t xml:space="preserve">&lt;Иванов А.А.=&gt;</w:t>
      </w:r>
      <w:r>
        <w:t xml:space="preserve">;</w:t>
      </w:r>
    </w:p>
    <w:p>
      <w:pPr>
        <w:pStyle w:val="Compact"/>
        <w:numPr>
          <w:ilvl w:val="0"/>
          <w:numId w:val="1029"/>
        </w:numPr>
      </w:pPr>
      <w:r>
        <w:t xml:space="preserve">повторяющуюся часть заглавия можно скрыть аналогично, выделив её как</w:t>
      </w:r>
      <w:r>
        <w:t xml:space="preserve"> </w:t>
      </w:r>
      <w:r>
        <w:rPr>
          <w:rStyle w:val="VerbatimChar"/>
        </w:rPr>
        <w:t xml:space="preserve">&lt;...=&gt;</w:t>
      </w:r>
      <w:r>
        <w:t xml:space="preserve">.</w:t>
      </w:r>
    </w:p>
    <w:p>
      <w:pPr>
        <w:pStyle w:val="FirstParagraph"/>
      </w:pPr>
      <w:r>
        <w:t xml:space="preserve">Такие данные не выводятся повторно при просмотре, но остаются в словарях и в аналитических описаниях.</w:t>
      </w:r>
    </w:p>
    <w:p>
      <w:pPr>
        <w:pStyle w:val="BodyText"/>
      </w:pPr>
      <w:r>
        <w:t xml:space="preserve">Сведения об ответственности могут вводиться через словарь в режиме мультиввода. Поскольку эти данные не являются поисковыми, лиц с вторичной ответственностью нужно дополнительно вводить в поле</w:t>
      </w:r>
      <w:r>
        <w:t xml:space="preserve"> </w:t>
      </w:r>
      <w:r>
        <w:rPr>
          <w:rStyle w:val="VerbatimChar"/>
        </w:rPr>
        <w:t xml:space="preserve">702</w:t>
      </w:r>
      <w:r>
        <w:t xml:space="preserve">. После сохранения автоматически сформированные сведения можно корректировать вручную.</w:t>
      </w:r>
    </w:p>
    <w:p>
      <w:pPr>
        <w:pStyle w:val="BodyText"/>
      </w:pPr>
      <w:r>
        <w:t xml:space="preserve">Сведения об иллюстрациях вводятся через меню. Для страниц обозначение единицы измерения не вводится: в выходных документах оно берётся из</w:t>
      </w:r>
      <w:r>
        <w:t xml:space="preserve"> </w:t>
      </w:r>
      <w:r>
        <w:rPr>
          <w:rStyle w:val="VerbatimChar"/>
        </w:rPr>
        <w:t xml:space="preserve">ORG.MNU</w:t>
      </w:r>
      <w:r>
        <w:t xml:space="preserve">. Издательский индекс определяет, что статья должна выводиться в систематический указатель в формате аналитического описания.</w:t>
      </w:r>
    </w:p>
    <w:p>
      <w:pPr>
        <w:pStyle w:val="BodyText"/>
      </w:pPr>
      <w:r>
        <w:t xml:space="preserve">Если содержание нужно выводить в кратком виде как примечание, это задаётся в настройке на странице</w:t>
      </w:r>
      <w:r>
        <w:t xml:space="preserve"> </w:t>
      </w:r>
      <w:r>
        <w:rPr>
          <w:rStyle w:val="VerbatimChar"/>
        </w:rPr>
        <w:t xml:space="preserve">Технология</w:t>
      </w:r>
      <w:r>
        <w:t xml:space="preserve"> </w:t>
      </w:r>
      <w:r>
        <w:t xml:space="preserve">или через кнопку настройки.</w:t>
      </w:r>
    </w:p>
    <w:p>
      <w:pPr>
        <w:pStyle w:val="BodyText"/>
      </w:pPr>
      <w:r>
        <w:t xml:space="preserve">Авторы, заглавия и ключевые слова из содержания выводятся в соответствующие поисковые словари; отдельные слова из заглавий также включаются в словарь ключевых слов.</w:t>
      </w:r>
    </w:p>
    <w:p>
      <w:pPr>
        <w:pStyle w:val="BodyText"/>
      </w:pPr>
      <w:r>
        <w:t xml:space="preserve">Для сборников произведений одного автора или сборников разных авторов, где у каждого произведения не более одного автора, могут использоваться рабочие листы с укороченными страницами содержания. Если хотя бы в одном повторении</w:t>
      </w:r>
      <w:r>
        <w:t xml:space="preserve"> </w:t>
      </w:r>
      <w:r>
        <w:rPr>
          <w:rStyle w:val="VerbatimChar"/>
        </w:rPr>
        <w:t xml:space="preserve">330</w:t>
      </w:r>
      <w:r>
        <w:t xml:space="preserve"> </w:t>
      </w:r>
      <w:r>
        <w:t xml:space="preserve">введены полные данные, вызов поля на укороченной странице может привести к потере данных, отсутствующих в укороченном наборе.</w:t>
      </w:r>
    </w:p>
    <w:bookmarkEnd w:id="125"/>
    <w:bookmarkStart w:id="126" w:name="страница-рл-ко"/>
    <w:p>
      <w:pPr>
        <w:pStyle w:val="Heading4"/>
      </w:pPr>
      <w:r>
        <w:t xml:space="preserve">77. Страница РЛ</w:t>
      </w:r>
      <w:r>
        <w:t xml:space="preserve"> </w:t>
      </w:r>
      <w:r>
        <w:rPr>
          <w:rStyle w:val="VerbatimChar"/>
        </w:rPr>
        <w:t xml:space="preserve">КО</w:t>
      </w:r>
    </w:p>
    <w:p>
      <w:pPr>
        <w:pStyle w:val="FirstParagraph"/>
      </w:pPr>
      <w:r>
        <w:t xml:space="preserve">Страница</w:t>
      </w:r>
      <w:r>
        <w:t xml:space="preserve"> </w:t>
      </w:r>
      <w:r>
        <w:rPr>
          <w:rStyle w:val="VerbatimChar"/>
        </w:rPr>
        <w:t xml:space="preserve">КО</w:t>
      </w:r>
      <w:r>
        <w:t xml:space="preserve"> </w:t>
      </w:r>
      <w:r>
        <w:t xml:space="preserve">содержит элементы данных по книгообеспеченности: назначение учебной литературы, потенциальные дисциплины, заявки, архивные и текущие коэффициенты книгообеспеченности, а также сведения об аналогах.</w:t>
      </w:r>
    </w:p>
    <w:bookmarkEnd w:id="126"/>
    <w:bookmarkStart w:id="127" w:name="поле-691-учебная-литература"/>
    <w:p>
      <w:pPr>
        <w:pStyle w:val="Heading4"/>
      </w:pPr>
      <w:r>
        <w:t xml:space="preserve">78. Поле 691: учебная литература</w:t>
      </w:r>
    </w:p>
    <w:p>
      <w:pPr>
        <w:pStyle w:val="FirstParagraph"/>
      </w:pPr>
      <w:r>
        <w:t xml:space="preserve">Поле</w:t>
      </w:r>
      <w:r>
        <w:t xml:space="preserve"> </w:t>
      </w:r>
      <w:r>
        <w:rPr>
          <w:rStyle w:val="VerbatimChar"/>
        </w:rPr>
        <w:t xml:space="preserve">691</w:t>
      </w:r>
      <w:r>
        <w:t xml:space="preserve"> </w:t>
      </w:r>
      <w:r>
        <w:t xml:space="preserve">содержит расширенную информацию о назначении учебников и учебных пособий для вузов. В поле вводятся дисциплина, идентификатор дисциплины, факультет, филиал, выпускающая и читающая кафедры, учебное направление, специальность, цикл дисциплин, уровень компонента, вид и форма обучения, семестр, признак основной или дополнительной литературы, уникальный номер дисциплины и номер учебного плана.</w:t>
      </w:r>
    </w:p>
    <w:p>
      <w:pPr>
        <w:pStyle w:val="BodyText"/>
      </w:pPr>
      <w:r>
        <w:t xml:space="preserve">Данные вводятся через справочники-меню. Для упрощения ввода можно выбирать уже введённые данные из базы</w:t>
      </w:r>
      <w:r>
        <w:t xml:space="preserve"> </w:t>
      </w:r>
      <w:r>
        <w:rPr>
          <w:rStyle w:val="VerbatimChar"/>
        </w:rPr>
        <w:t xml:space="preserve">VUZ</w:t>
      </w:r>
      <w:r>
        <w:t xml:space="preserve">: через словарь дисциплины в поле переносятся связанные данные о кафедре, филиале, направлении, специальности, виде и форме обучения, семестре, а также идентификатор, уровень, цикл и уникальный номер дисциплины, если они есть в базе.</w:t>
      </w:r>
    </w:p>
    <w:p>
      <w:pPr>
        <w:pStyle w:val="BodyText"/>
      </w:pPr>
      <w:r>
        <w:t xml:space="preserve">В режиме мультиввода можно отметить несколько строк дисциплин и перенести их в повторяющиеся поля. После этого обычно нужно добавить только признак</w:t>
      </w:r>
      <w:r>
        <w:t xml:space="preserve"> </w:t>
      </w:r>
      <w:r>
        <w:rPr>
          <w:rStyle w:val="VerbatimChar"/>
        </w:rPr>
        <w:t xml:space="preserve">основная/дополнительная</w:t>
      </w:r>
      <w:r>
        <w:t xml:space="preserve">.</w:t>
      </w:r>
    </w:p>
    <w:p>
      <w:pPr>
        <w:pStyle w:val="BodyText"/>
      </w:pPr>
      <w:r>
        <w:t xml:space="preserve">Подполе</w:t>
      </w:r>
      <w:r>
        <w:t xml:space="preserve"> </w:t>
      </w:r>
      <w:r>
        <w:rPr>
          <w:rStyle w:val="VerbatimChar"/>
        </w:rPr>
        <w:t xml:space="preserve">Номер учебного плана</w:t>
      </w:r>
      <w:r>
        <w:t xml:space="preserve"> </w:t>
      </w:r>
      <w:r>
        <w:t xml:space="preserve">оставлено для преемственности со старыми версиями. В АРМе</w:t>
      </w:r>
      <w:r>
        <w:t xml:space="preserve"> </w:t>
      </w:r>
      <w:r>
        <w:rPr>
          <w:rStyle w:val="VerbatimChar"/>
        </w:rPr>
        <w:t xml:space="preserve">Книгообеспеченность</w:t>
      </w:r>
      <w:r>
        <w:t xml:space="preserve"> </w:t>
      </w:r>
      <w:r>
        <w:t xml:space="preserve">основной технологией является работа по уникальному номеру дисциплины.</w:t>
      </w:r>
    </w:p>
    <w:bookmarkEnd w:id="127"/>
    <w:bookmarkStart w:id="128" w:name="поле-61-потенциальная-дисциплина"/>
    <w:p>
      <w:pPr>
        <w:pStyle w:val="Heading4"/>
      </w:pPr>
      <w:r>
        <w:t xml:space="preserve">79. Поле 61: потенциальная дисциплина</w:t>
      </w:r>
    </w:p>
    <w:p>
      <w:pPr>
        <w:pStyle w:val="FirstParagraph"/>
      </w:pPr>
      <w:r>
        <w:t xml:space="preserve">Поле</w:t>
      </w:r>
      <w:r>
        <w:t xml:space="preserve"> </w:t>
      </w:r>
      <w:r>
        <w:rPr>
          <w:rStyle w:val="VerbatimChar"/>
        </w:rPr>
        <w:t xml:space="preserve">61</w:t>
      </w:r>
      <w:r>
        <w:t xml:space="preserve"> </w:t>
      </w:r>
      <w:r>
        <w:t xml:space="preserve">позволяет заранее указать потенциальные дисциплины, для которых будет использоваться учебник, когда точных данных ещё нет. Позже по словарю потенциальных дисциплин можно найти соответствующий учебник.</w:t>
      </w:r>
    </w:p>
    <w:bookmarkEnd w:id="128"/>
    <w:bookmarkStart w:id="129" w:name="поле-694-заявка-на-учебную-литературу"/>
    <w:p>
      <w:pPr>
        <w:pStyle w:val="Heading4"/>
      </w:pPr>
      <w:r>
        <w:t xml:space="preserve">80. Поле 694: заявка на учебную литературу</w:t>
      </w:r>
    </w:p>
    <w:p>
      <w:pPr>
        <w:pStyle w:val="FirstParagraph"/>
      </w:pPr>
      <w:r>
        <w:t xml:space="preserve">Поле</w:t>
      </w:r>
      <w:r>
        <w:t xml:space="preserve"> </w:t>
      </w:r>
      <w:r>
        <w:rPr>
          <w:rStyle w:val="VerbatimChar"/>
        </w:rPr>
        <w:t xml:space="preserve">694</w:t>
      </w:r>
      <w:r>
        <w:t xml:space="preserve"> </w:t>
      </w:r>
      <w:r>
        <w:t xml:space="preserve">предназначено для оперативного ввода и последующего отслеживания заявок на приобретение литературы, поступающих из учебного отдела вуза. Набор данных соответствует</w:t>
      </w:r>
      <w:r>
        <w:t xml:space="preserve"> </w:t>
      </w:r>
      <w:r>
        <w:rPr>
          <w:rStyle w:val="VerbatimChar"/>
        </w:rPr>
        <w:t xml:space="preserve">691</w:t>
      </w:r>
      <w:r>
        <w:t xml:space="preserve">, но первоначально может заполняться кратко: через идентификатор дисциплины, название и необходимые уточнения.</w:t>
      </w:r>
    </w:p>
    <w:p>
      <w:pPr>
        <w:pStyle w:val="BodyText"/>
      </w:pPr>
      <w:r>
        <w:t xml:space="preserve">После выполнения заявки может запускаться глобальная корректировка</w:t>
      </w:r>
      <w:r>
        <w:t xml:space="preserve"> </w:t>
      </w:r>
      <w:r>
        <w:rPr>
          <w:rStyle w:val="VerbatimChar"/>
        </w:rPr>
        <w:t xml:space="preserve">KO691Z</w:t>
      </w:r>
      <w:r>
        <w:t xml:space="preserve">, которая создаёт поля</w:t>
      </w:r>
      <w:r>
        <w:t xml:space="preserve"> </w:t>
      </w:r>
      <w:r>
        <w:rPr>
          <w:rStyle w:val="VerbatimChar"/>
        </w:rPr>
        <w:t xml:space="preserve">691</w:t>
      </w:r>
      <w:r>
        <w:t xml:space="preserve"> </w:t>
      </w:r>
      <w:r>
        <w:t xml:space="preserve">на основе</w:t>
      </w:r>
      <w:r>
        <w:t xml:space="preserve"> </w:t>
      </w:r>
      <w:r>
        <w:rPr>
          <w:rStyle w:val="VerbatimChar"/>
        </w:rPr>
        <w:t xml:space="preserve">694</w:t>
      </w:r>
      <w:r>
        <w:t xml:space="preserve"> </w:t>
      </w:r>
      <w:r>
        <w:t xml:space="preserve">и расширяет данные из базы</w:t>
      </w:r>
      <w:r>
        <w:t xml:space="preserve"> </w:t>
      </w:r>
      <w:r>
        <w:rPr>
          <w:rStyle w:val="VerbatimChar"/>
        </w:rPr>
        <w:t xml:space="preserve">VUZ</w:t>
      </w:r>
      <w:r>
        <w:t xml:space="preserve">.</w:t>
      </w:r>
    </w:p>
    <w:p>
      <w:pPr>
        <w:pStyle w:val="BodyText"/>
      </w:pPr>
      <w:r>
        <w:t xml:space="preserve">При построении</w:t>
      </w:r>
      <w:r>
        <w:t xml:space="preserve"> </w:t>
      </w:r>
      <w:r>
        <w:rPr>
          <w:rStyle w:val="VerbatimChar"/>
        </w:rPr>
        <w:t xml:space="preserve">691</w:t>
      </w:r>
      <w:r>
        <w:t xml:space="preserve"> </w:t>
      </w:r>
      <w:r>
        <w:t xml:space="preserve">учитываются заданные в заявке направление, специальность, вид и форма обучения, факультет, семестр и выпускающая кафедра. Если какой-либо элемент не указан, берутся все подходящие данные. В одном повторении</w:t>
      </w:r>
      <w:r>
        <w:t xml:space="preserve"> </w:t>
      </w:r>
      <w:r>
        <w:rPr>
          <w:rStyle w:val="VerbatimChar"/>
        </w:rPr>
        <w:t xml:space="preserve">694</w:t>
      </w:r>
      <w:r>
        <w:t xml:space="preserve"> </w:t>
      </w:r>
      <w:r>
        <w:t xml:space="preserve">можно указать несколько семестров через</w:t>
      </w:r>
      <w:r>
        <w:t xml:space="preserve"> </w:t>
      </w:r>
      <w:r>
        <w:rPr>
          <w:rStyle w:val="VerbatimChar"/>
        </w:rPr>
        <w:t xml:space="preserve">/</w:t>
      </w:r>
      <w:r>
        <w:t xml:space="preserve">.</w:t>
      </w:r>
    </w:p>
    <w:bookmarkEnd w:id="129"/>
    <w:bookmarkStart w:id="130" w:name="поля-692-и-693-архивные-и-текущие-кко"/>
    <w:p>
      <w:pPr>
        <w:pStyle w:val="Heading4"/>
      </w:pPr>
      <w:r>
        <w:t xml:space="preserve">81. Поля 692 и 693: архивные и текущие ККО</w:t>
      </w:r>
    </w:p>
    <w:p>
      <w:pPr>
        <w:pStyle w:val="FirstParagraph"/>
      </w:pPr>
      <w:r>
        <w:t xml:space="preserve">Поле</w:t>
      </w:r>
      <w:r>
        <w:t xml:space="preserve"> </w:t>
      </w:r>
      <w:r>
        <w:rPr>
          <w:rStyle w:val="VerbatimChar"/>
        </w:rPr>
        <w:t xml:space="preserve">692</w:t>
      </w:r>
      <w:r>
        <w:t xml:space="preserve"> </w:t>
      </w:r>
      <w:r>
        <w:t xml:space="preserve">содержит архивные данные книгообеспеченности для семестров: учебный год, полугодие, дату обработки, выделенную категорию, число экземпляров, число экземпляров с коэффициентом многоразового использования, число студентов и рассчитанные коэффициенты.</w:t>
      </w:r>
    </w:p>
    <w:p>
      <w:pPr>
        <w:pStyle w:val="BodyText"/>
      </w:pPr>
      <w:r>
        <w:t xml:space="preserve">Поле может отражать данные по выделенным категориям, дополнительно к выделенным категориям, общие данные без учёта выделенной категории и общие данные не для заочников.</w:t>
      </w:r>
    </w:p>
    <w:p>
      <w:pPr>
        <w:pStyle w:val="BodyText"/>
      </w:pPr>
      <w:r>
        <w:rPr>
          <w:rStyle w:val="VerbatimChar"/>
        </w:rPr>
        <w:t xml:space="preserve">692</w:t>
      </w:r>
      <w:r>
        <w:t xml:space="preserve"> </w:t>
      </w:r>
      <w:r>
        <w:t xml:space="preserve">заполняется в процессе работы АРМа</w:t>
      </w:r>
      <w:r>
        <w:t xml:space="preserve"> </w:t>
      </w:r>
      <w:r>
        <w:rPr>
          <w:rStyle w:val="VerbatimChar"/>
        </w:rPr>
        <w:t xml:space="preserve">Книгообеспеченность</w:t>
      </w:r>
      <w:r>
        <w:t xml:space="preserve"> </w:t>
      </w:r>
      <w:r>
        <w:t xml:space="preserve">или глобальной корректировкой в конце семестра. Данные используются в выходных форматах и итоговых таблицах при расчёте среднего годового коэффициента книгообеспеченности.</w:t>
      </w:r>
    </w:p>
    <w:p>
      <w:pPr>
        <w:pStyle w:val="BodyText"/>
      </w:pPr>
      <w:r>
        <w:t xml:space="preserve">Поле</w:t>
      </w:r>
      <w:r>
        <w:t xml:space="preserve"> </w:t>
      </w:r>
      <w:r>
        <w:rPr>
          <w:rStyle w:val="VerbatimChar"/>
        </w:rPr>
        <w:t xml:space="preserve">693</w:t>
      </w:r>
      <w:r>
        <w:t xml:space="preserve"> </w:t>
      </w:r>
      <w:r>
        <w:t xml:space="preserve">содержит текущие значения ККО для текущего семестра. По структуре оно соответствует архивному полю</w:t>
      </w:r>
      <w:r>
        <w:t xml:space="preserve"> </w:t>
      </w:r>
      <w:r>
        <w:rPr>
          <w:rStyle w:val="VerbatimChar"/>
        </w:rPr>
        <w:t xml:space="preserve">692</w:t>
      </w:r>
      <w:r>
        <w:t xml:space="preserve"> </w:t>
      </w:r>
      <w:r>
        <w:t xml:space="preserve">и заполняется в процессе работы АРМа</w:t>
      </w:r>
      <w:r>
        <w:t xml:space="preserve"> </w:t>
      </w:r>
      <w:r>
        <w:rPr>
          <w:rStyle w:val="VerbatimChar"/>
        </w:rPr>
        <w:t xml:space="preserve">Книгообеспеченность</w:t>
      </w:r>
      <w:r>
        <w:t xml:space="preserve">.</w:t>
      </w:r>
    </w:p>
    <w:bookmarkEnd w:id="130"/>
    <w:bookmarkStart w:id="131" w:name="поле-699-аналоги"/>
    <w:p>
      <w:pPr>
        <w:pStyle w:val="Heading4"/>
      </w:pPr>
      <w:r>
        <w:t xml:space="preserve">82. Поле 699: аналоги</w:t>
      </w:r>
    </w:p>
    <w:p>
      <w:pPr>
        <w:pStyle w:val="FirstParagraph"/>
      </w:pPr>
      <w:r>
        <w:t xml:space="preserve">Поле</w:t>
      </w:r>
      <w:r>
        <w:t xml:space="preserve"> </w:t>
      </w:r>
      <w:r>
        <w:rPr>
          <w:rStyle w:val="VerbatimChar"/>
        </w:rPr>
        <w:t xml:space="preserve">699</w:t>
      </w:r>
      <w:r>
        <w:t xml:space="preserve"> </w:t>
      </w:r>
      <w:r>
        <w:t xml:space="preserve">фиксирует сведения об изданиях-аналогах: изданиях одного наименования разных лет или взаимозаменяемых учебниках, которые при расчёте коэффициента книгообеспеченности должны считаться одним наименованием.</w:t>
      </w:r>
    </w:p>
    <w:p>
      <w:pPr>
        <w:pStyle w:val="BodyText"/>
      </w:pPr>
      <w:r>
        <w:t xml:space="preserve">В поле указываются признак и шифр связанной записи. Признак</w:t>
      </w:r>
      <w:r>
        <w:t xml:space="preserve"> </w:t>
      </w:r>
      <w:r>
        <w:rPr>
          <w:rStyle w:val="VerbatimChar"/>
        </w:rPr>
        <w:t xml:space="preserve">1</w:t>
      </w:r>
      <w:r>
        <w:t xml:space="preserve"> </w:t>
      </w:r>
      <w:r>
        <w:t xml:space="preserve">означает основную запись, к которой есть аналог; признак</w:t>
      </w:r>
      <w:r>
        <w:t xml:space="preserve"> </w:t>
      </w:r>
      <w:r>
        <w:rPr>
          <w:rStyle w:val="VerbatimChar"/>
        </w:rPr>
        <w:t xml:space="preserve">0</w:t>
      </w:r>
      <w:r>
        <w:t xml:space="preserve"> </w:t>
      </w:r>
      <w:r>
        <w:t xml:space="preserve">означает запись-аналог к основной записи. Шифр связанной записи вводится через словарь заглавий.</w:t>
      </w:r>
    </w:p>
    <w:p>
      <w:pPr>
        <w:pStyle w:val="BodyText"/>
      </w:pPr>
      <w:r>
        <w:t xml:space="preserve">При расчёте коэффициента книгообеспеченности учитываются экземпляры всех связанных записей, а в число наименований включаются только основные записи.</w:t>
      </w:r>
    </w:p>
    <w:bookmarkEnd w:id="131"/>
    <w:bookmarkStart w:id="132" w:name="страница-рл-редкие"/>
    <w:p>
      <w:pPr>
        <w:pStyle w:val="Heading4"/>
      </w:pPr>
      <w:r>
        <w:t xml:space="preserve">83. Страница РЛ</w:t>
      </w:r>
      <w:r>
        <w:t xml:space="preserve"> </w:t>
      </w:r>
      <w:r>
        <w:rPr>
          <w:rStyle w:val="VerbatimChar"/>
        </w:rPr>
        <w:t xml:space="preserve">Редкие</w:t>
      </w:r>
    </w:p>
    <w:p>
      <w:pPr>
        <w:pStyle w:val="FirstParagraph"/>
      </w:pPr>
      <w:r>
        <w:t xml:space="preserve">Страница</w:t>
      </w:r>
      <w:r>
        <w:t xml:space="preserve"> </w:t>
      </w:r>
      <w:r>
        <w:rPr>
          <w:rStyle w:val="VerbatimChar"/>
        </w:rPr>
        <w:t xml:space="preserve">Редкие</w:t>
      </w:r>
      <w:r>
        <w:t xml:space="preserve"> </w:t>
      </w:r>
      <w:r>
        <w:t xml:space="preserve">содержит специфические данные редких книг и особенности конкретных экземпляров: автографы, примечания о происхождении и сохранности, экслибрисы, пометки, кодированные характеристики и состояние предмета.</w:t>
      </w:r>
    </w:p>
    <w:bookmarkEnd w:id="132"/>
    <w:bookmarkStart w:id="133" w:name="поле-391-автографы"/>
    <w:p>
      <w:pPr>
        <w:pStyle w:val="Heading4"/>
      </w:pPr>
      <w:r>
        <w:t xml:space="preserve">84. Поле 391: автографы</w:t>
      </w:r>
    </w:p>
    <w:p>
      <w:pPr>
        <w:pStyle w:val="FirstParagraph"/>
      </w:pPr>
      <w:r>
        <w:t xml:space="preserve">Поле</w:t>
      </w:r>
      <w:r>
        <w:t xml:space="preserve"> </w:t>
      </w:r>
      <w:r>
        <w:rPr>
          <w:rStyle w:val="VerbatimChar"/>
        </w:rPr>
        <w:t xml:space="preserve">391</w:t>
      </w:r>
      <w:r>
        <w:t xml:space="preserve"> </w:t>
      </w:r>
      <w:r>
        <w:t xml:space="preserve">содержит сведения о наличии автографов. Автограф вводится с тем же набором элементов, что и авторские данные: фамилия, инициалы, расширение инициалов, дополнительные данные имени, даты жизни, индикаторы формы записи, авторитетная запись и признак допустимости инверсии ФИО.</w:t>
      </w:r>
    </w:p>
    <w:p>
      <w:pPr>
        <w:pStyle w:val="BodyText"/>
      </w:pPr>
      <w:r>
        <w:t xml:space="preserve">Дополнительно вводятся текст автографа и инвентарный номер экземпляра. Поле повторяется по числу автографов, включается в поисковые словари авторов и автографов, а признак наличия автографа попадает в словарь</w:t>
      </w:r>
      <w:r>
        <w:t xml:space="preserve"> </w:t>
      </w:r>
      <w:r>
        <w:rPr>
          <w:rStyle w:val="VerbatimChar"/>
        </w:rPr>
        <w:t xml:space="preserve">Редкие книги</w:t>
      </w:r>
      <w:r>
        <w:t xml:space="preserve">.</w:t>
      </w:r>
    </w:p>
    <w:bookmarkEnd w:id="133"/>
    <w:bookmarkStart w:id="134" w:name="поле-316-особенности-экземпляра"/>
    <w:p>
      <w:pPr>
        <w:pStyle w:val="Heading4"/>
      </w:pPr>
      <w:r>
        <w:t xml:space="preserve">85. Поле 316: особенности экземпляра</w:t>
      </w:r>
    </w:p>
    <w:p>
      <w:pPr>
        <w:pStyle w:val="FirstParagraph"/>
      </w:pPr>
      <w:r>
        <w:t xml:space="preserve">Поле</w:t>
      </w:r>
      <w:r>
        <w:t xml:space="preserve"> </w:t>
      </w:r>
      <w:r>
        <w:rPr>
          <w:rStyle w:val="VerbatimChar"/>
        </w:rPr>
        <w:t xml:space="preserve">316</w:t>
      </w:r>
      <w:r>
        <w:t xml:space="preserve"> </w:t>
      </w:r>
      <w:r>
        <w:t xml:space="preserve">содержит примечания об особенностях экземпляра. Примечание может вводиться свободно, через справочник или через служебный словарь. Для разных экземпляров поле повторяется.</w:t>
      </w:r>
    </w:p>
    <w:p>
      <w:pPr>
        <w:pStyle w:val="BodyText"/>
      </w:pPr>
      <w:r>
        <w:t xml:space="preserve">Если в подполях</w:t>
      </w:r>
      <w:r>
        <w:t xml:space="preserve"> </w:t>
      </w:r>
      <w:r>
        <w:rPr>
          <w:rStyle w:val="VerbatimChar"/>
        </w:rPr>
        <w:t xml:space="preserve">Текст</w:t>
      </w:r>
      <w:r>
        <w:t xml:space="preserve"> </w:t>
      </w:r>
      <w:r>
        <w:t xml:space="preserve">введено несколько значений с разделителем</w:t>
      </w:r>
      <w:r>
        <w:t xml:space="preserve"> </w:t>
      </w:r>
      <w:r>
        <w:rPr>
          <w:rStyle w:val="VerbatimChar"/>
        </w:rPr>
        <w:t xml:space="preserve">;</w:t>
      </w:r>
      <w:r>
        <w:t xml:space="preserve">, при сохранении документа эти значения разделяются и записываются в поле</w:t>
      </w:r>
      <w:r>
        <w:t xml:space="preserve"> </w:t>
      </w:r>
      <w:r>
        <w:rPr>
          <w:rStyle w:val="VerbatimChar"/>
        </w:rPr>
        <w:t xml:space="preserve">929</w:t>
      </w:r>
      <w:r>
        <w:t xml:space="preserve">. Из</w:t>
      </w:r>
      <w:r>
        <w:t xml:space="preserve"> </w:t>
      </w:r>
      <w:r>
        <w:rPr>
          <w:rStyle w:val="VerbatimChar"/>
        </w:rPr>
        <w:t xml:space="preserve">929</w:t>
      </w:r>
      <w:r>
        <w:t xml:space="preserve"> </w:t>
      </w:r>
      <w:r>
        <w:t xml:space="preserve">они попадают в служебный словарь особенностей экземпляра. Если разделителя нет, в словарь вводится единственное значение.</w:t>
      </w:r>
    </w:p>
    <w:p>
      <w:pPr>
        <w:pStyle w:val="BodyText"/>
      </w:pPr>
      <w:r>
        <w:t xml:space="preserve">Признак наличия примечания об особенностях экземпляра вводится в словарь</w:t>
      </w:r>
      <w:r>
        <w:t xml:space="preserve"> </w:t>
      </w:r>
      <w:r>
        <w:rPr>
          <w:rStyle w:val="VerbatimChar"/>
        </w:rPr>
        <w:t xml:space="preserve">Редкие книги</w:t>
      </w:r>
      <w:r>
        <w:t xml:space="preserve">.</w:t>
      </w:r>
    </w:p>
    <w:bookmarkEnd w:id="134"/>
    <w:bookmarkStart w:id="135" w:name="поле-317-происхождение-экземпляра"/>
    <w:p>
      <w:pPr>
        <w:pStyle w:val="Heading4"/>
      </w:pPr>
      <w:r>
        <w:t xml:space="preserve">86. Поле 317: происхождение экземпляра</w:t>
      </w:r>
    </w:p>
    <w:p>
      <w:pPr>
        <w:pStyle w:val="FirstParagraph"/>
      </w:pPr>
      <w:r>
        <w:t xml:space="preserve">Поле</w:t>
      </w:r>
      <w:r>
        <w:t xml:space="preserve"> </w:t>
      </w:r>
      <w:r>
        <w:rPr>
          <w:rStyle w:val="VerbatimChar"/>
        </w:rPr>
        <w:t xml:space="preserve">317</w:t>
      </w:r>
      <w:r>
        <w:t xml:space="preserve"> </w:t>
      </w:r>
      <w:r>
        <w:t xml:space="preserve">содержит примечание о происхождении экземпляра: сведения о штемпелях, владельческих записях, экслибрисах и других признаках происхождения. Примечание вводится в свободной форме; поле повторяется для разных экземпляров.</w:t>
      </w:r>
    </w:p>
    <w:p>
      <w:pPr>
        <w:pStyle w:val="BodyText"/>
      </w:pPr>
      <w:r>
        <w:t xml:space="preserve">Признак наличия примечания о происхождении экземпляра вводится в словарь</w:t>
      </w:r>
      <w:r>
        <w:t xml:space="preserve"> </w:t>
      </w:r>
      <w:r>
        <w:rPr>
          <w:rStyle w:val="VerbatimChar"/>
        </w:rPr>
        <w:t xml:space="preserve">Редкие книги</w:t>
      </w:r>
      <w:r>
        <w:t xml:space="preserve">.</w:t>
      </w:r>
    </w:p>
    <w:bookmarkEnd w:id="135"/>
    <w:bookmarkStart w:id="136" w:name="X88e0e4c9241f5a4d137f77b669d46d493dfc400"/>
    <w:p>
      <w:pPr>
        <w:pStyle w:val="Heading4"/>
      </w:pPr>
      <w:r>
        <w:t xml:space="preserve">87. Поле 318: действия по сохранности документа</w:t>
      </w:r>
    </w:p>
    <w:p>
      <w:pPr>
        <w:pStyle w:val="FirstParagraph"/>
      </w:pPr>
      <w:r>
        <w:t xml:space="preserve">Поле</w:t>
      </w:r>
      <w:r>
        <w:t xml:space="preserve"> </w:t>
      </w:r>
      <w:r>
        <w:rPr>
          <w:rStyle w:val="VerbatimChar"/>
        </w:rPr>
        <w:t xml:space="preserve">318</w:t>
      </w:r>
      <w:r>
        <w:t xml:space="preserve"> </w:t>
      </w:r>
      <w:r>
        <w:t xml:space="preserve">описывает действия, выполненные для сохранности конкретного экземпляра: действие, идентификацию действия, время и период проведения, условия, санкционирование, юрисдикцию, метод, место, исполнителя, состояние, меру, тип элемента, публикуемые и непубликуемые примечания, организацию-держателя и инвентарный номер.</w:t>
      </w:r>
    </w:p>
    <w:p>
      <w:pPr>
        <w:pStyle w:val="BodyText"/>
      </w:pPr>
      <w:r>
        <w:t xml:space="preserve">Поле повторяется для разных экземпляров. Его структура соответствует аналогичному полю формата RUSMARC. Признак наличия примечания о действиях над экземпляром вводится в словарь</w:t>
      </w:r>
      <w:r>
        <w:t xml:space="preserve"> </w:t>
      </w:r>
      <w:r>
        <w:rPr>
          <w:rStyle w:val="VerbatimChar"/>
        </w:rPr>
        <w:t xml:space="preserve">Редкие книги</w:t>
      </w:r>
      <w:r>
        <w:t xml:space="preserve">.</w:t>
      </w:r>
    </w:p>
    <w:bookmarkEnd w:id="136"/>
    <w:bookmarkStart w:id="137" w:name="поле-398-экслибрис"/>
    <w:p>
      <w:pPr>
        <w:pStyle w:val="Heading4"/>
      </w:pPr>
      <w:r>
        <w:t xml:space="preserve">88. Поле 398: экслибрис</w:t>
      </w:r>
    </w:p>
    <w:p>
      <w:pPr>
        <w:pStyle w:val="FirstParagraph"/>
      </w:pPr>
      <w:r>
        <w:t xml:space="preserve">Поле</w:t>
      </w:r>
      <w:r>
        <w:t xml:space="preserve"> </w:t>
      </w:r>
      <w:r>
        <w:rPr>
          <w:rStyle w:val="VerbatimChar"/>
        </w:rPr>
        <w:t xml:space="preserve">398</w:t>
      </w:r>
      <w:r>
        <w:t xml:space="preserve"> </w:t>
      </w:r>
      <w:r>
        <w:t xml:space="preserve">содержит описание экслибриса и инвентарный номер экземпляра. Поле повторяется для разных экземпляров. В одно повторение можно ввести несколько экслибрисов одного экземпляра, разделяя их строкой</w:t>
      </w:r>
      <w:r>
        <w:t xml:space="preserve"> </w:t>
      </w:r>
      <w:r>
        <w:rPr>
          <w:rStyle w:val="VerbatimChar"/>
        </w:rPr>
        <w:t xml:space="preserve">;</w:t>
      </w:r>
      <w:r>
        <w:t xml:space="preserve">.</w:t>
      </w:r>
    </w:p>
    <w:p>
      <w:pPr>
        <w:pStyle w:val="BodyText"/>
      </w:pPr>
      <w:r>
        <w:t xml:space="preserve">Часто встречающиеся описания экслибрисов можно внести в справочник</w:t>
      </w:r>
      <w:r>
        <w:t xml:space="preserve"> </w:t>
      </w:r>
      <w:r>
        <w:rPr>
          <w:rStyle w:val="VerbatimChar"/>
        </w:rPr>
        <w:t xml:space="preserve">398.mnu</w:t>
      </w:r>
      <w:r>
        <w:t xml:space="preserve"> </w:t>
      </w:r>
      <w:r>
        <w:t xml:space="preserve">и использовать при вводе. Признак наличия экслибриса вводится в словарь</w:t>
      </w:r>
      <w:r>
        <w:t xml:space="preserve"> </w:t>
      </w:r>
      <w:r>
        <w:rPr>
          <w:rStyle w:val="VerbatimChar"/>
        </w:rPr>
        <w:t xml:space="preserve">Редкие книги</w:t>
      </w:r>
      <w:r>
        <w:t xml:space="preserve">.</w:t>
      </w:r>
    </w:p>
    <w:bookmarkEnd w:id="137"/>
    <w:bookmarkStart w:id="138" w:name="поля-395-и-396-пометки"/>
    <w:p>
      <w:pPr>
        <w:pStyle w:val="Heading4"/>
      </w:pPr>
      <w:r>
        <w:t xml:space="preserve">89. Поля 395 и 396: пометки</w:t>
      </w:r>
    </w:p>
    <w:p>
      <w:pPr>
        <w:pStyle w:val="FirstParagraph"/>
      </w:pPr>
      <w:r>
        <w:t xml:space="preserve">Поле</w:t>
      </w:r>
      <w:r>
        <w:t xml:space="preserve"> </w:t>
      </w:r>
      <w:r>
        <w:rPr>
          <w:rStyle w:val="VerbatimChar"/>
        </w:rPr>
        <w:t xml:space="preserve">395</w:t>
      </w:r>
      <w:r>
        <w:t xml:space="preserve"> </w:t>
      </w:r>
      <w:r>
        <w:t xml:space="preserve">содержит пометки автора. Поле</w:t>
      </w:r>
      <w:r>
        <w:t xml:space="preserve"> </w:t>
      </w:r>
      <w:r>
        <w:rPr>
          <w:rStyle w:val="VerbatimChar"/>
        </w:rPr>
        <w:t xml:space="preserve">396</w:t>
      </w:r>
      <w:r>
        <w:t xml:space="preserve"> </w:t>
      </w:r>
      <w:r>
        <w:t xml:space="preserve">содержит пометки владельца коллекции. Оба поля заполняются в свободной форме, повторяются и формируют признаки в словаре</w:t>
      </w:r>
      <w:r>
        <w:t xml:space="preserve"> </w:t>
      </w:r>
      <w:r>
        <w:rPr>
          <w:rStyle w:val="VerbatimChar"/>
        </w:rPr>
        <w:t xml:space="preserve">Редкие книги</w:t>
      </w:r>
      <w:r>
        <w:t xml:space="preserve">.</w:t>
      </w:r>
    </w:p>
    <w:bookmarkEnd w:id="138"/>
    <w:bookmarkStart w:id="139" w:name="X0042e313e6b46e7489e451d63efb2935b5c2c32"/>
    <w:p>
      <w:pPr>
        <w:pStyle w:val="Heading4"/>
      </w:pPr>
      <w:r>
        <w:t xml:space="preserve">90. Поле 106: физическая форма бумажного носителя</w:t>
      </w:r>
    </w:p>
    <w:p>
      <w:pPr>
        <w:pStyle w:val="FirstParagraph"/>
      </w:pPr>
      <w:r>
        <w:t xml:space="preserve">Поле</w:t>
      </w:r>
      <w:r>
        <w:t xml:space="preserve"> </w:t>
      </w:r>
      <w:r>
        <w:rPr>
          <w:rStyle w:val="VerbatimChar"/>
        </w:rPr>
        <w:t xml:space="preserve">106</w:t>
      </w:r>
      <w:r>
        <w:t xml:space="preserve"> </w:t>
      </w:r>
      <w:r>
        <w:t xml:space="preserve">содержит код физической формы текстового материала, например Брайль или минипечать. Поле не повторяется и не является поисковым.</w:t>
      </w:r>
    </w:p>
    <w:bookmarkEnd w:id="139"/>
    <w:bookmarkStart w:id="140" w:name="X8640c612480da274937ea99048683b7fc7c70bd"/>
    <w:p>
      <w:pPr>
        <w:pStyle w:val="Heading4"/>
      </w:pPr>
      <w:r>
        <w:t xml:space="preserve">91. Поле 116: кодированные данные графических материалов</w:t>
      </w:r>
    </w:p>
    <w:p>
      <w:pPr>
        <w:pStyle w:val="FirstParagraph"/>
      </w:pPr>
      <w:r>
        <w:t xml:space="preserve">Поле</w:t>
      </w:r>
      <w:r>
        <w:t xml:space="preserve"> </w:t>
      </w:r>
      <w:r>
        <w:rPr>
          <w:rStyle w:val="VerbatimChar"/>
        </w:rPr>
        <w:t xml:space="preserve">116</w:t>
      </w:r>
      <w:r>
        <w:t xml:space="preserve"> </w:t>
      </w:r>
      <w:r>
        <w:t xml:space="preserve">содержит кодированные характеристики графических материалов: спецификацию материала, материал первичной и вторичной основы, цвет, технику исполнения рисунков, живописи или гравюр, функциональное назначение.</w:t>
      </w:r>
    </w:p>
    <w:p>
      <w:pPr>
        <w:pStyle w:val="BodyText"/>
      </w:pPr>
      <w:r>
        <w:t xml:space="preserve">Поле повторяется и не является поисковым.</w:t>
      </w:r>
    </w:p>
    <w:bookmarkEnd w:id="140"/>
    <w:bookmarkStart w:id="141" w:name="X1b69223056f2f0c90b353b518ed699cb1721c32"/>
    <w:p>
      <w:pPr>
        <w:pStyle w:val="Heading4"/>
      </w:pPr>
      <w:r>
        <w:t xml:space="preserve">92. Поле 140: общие кодированные характеристики</w:t>
      </w:r>
    </w:p>
    <w:p>
      <w:pPr>
        <w:pStyle w:val="FirstParagraph"/>
      </w:pPr>
      <w:r>
        <w:t xml:space="preserve">Поле</w:t>
      </w:r>
      <w:r>
        <w:t xml:space="preserve"> </w:t>
      </w:r>
      <w:r>
        <w:rPr>
          <w:rStyle w:val="VerbatimChar"/>
        </w:rPr>
        <w:t xml:space="preserve">140</w:t>
      </w:r>
      <w:r>
        <w:t xml:space="preserve"> </w:t>
      </w:r>
      <w:r>
        <w:t xml:space="preserve">содержит кодированные сведения о документе в целом: иллюстрации книги и отдельных листов, технику иллюстраций, форму содержания, код литературы, код биографии, материал изготовления книги, материал иллюстраций, водяные знаки и эмблемы типографа или издателя.</w:t>
      </w:r>
    </w:p>
    <w:p>
      <w:pPr>
        <w:pStyle w:val="BodyText"/>
      </w:pPr>
      <w:r>
        <w:t xml:space="preserve">Поле не повторяется и не является поисковым. Для однотипных данных предусмотрен мультиввод кодов из справочников.</w:t>
      </w:r>
    </w:p>
    <w:bookmarkEnd w:id="141"/>
    <w:bookmarkStart w:id="142" w:name="X1118bbe49835681e64d6338dd7d86e491180c7d"/>
    <w:p>
      <w:pPr>
        <w:pStyle w:val="Heading4"/>
      </w:pPr>
      <w:r>
        <w:t xml:space="preserve">93. Поле 141: кодированные характеристики экземпляра</w:t>
      </w:r>
    </w:p>
    <w:p>
      <w:pPr>
        <w:pStyle w:val="FirstParagraph"/>
      </w:pPr>
      <w:r>
        <w:t xml:space="preserve">Поле</w:t>
      </w:r>
      <w:r>
        <w:t xml:space="preserve"> </w:t>
      </w:r>
      <w:r>
        <w:rPr>
          <w:rStyle w:val="VerbatimChar"/>
        </w:rPr>
        <w:t xml:space="preserve">141</w:t>
      </w:r>
      <w:r>
        <w:t xml:space="preserve"> </w:t>
      </w:r>
      <w:r>
        <w:t xml:space="preserve">содержит кодированные сведения об экземплярах: материал и тип переплёта, признак</w:t>
      </w:r>
      <w:r>
        <w:t xml:space="preserve"> </w:t>
      </w:r>
      <w:r>
        <w:rPr>
          <w:rStyle w:val="VerbatimChar"/>
        </w:rPr>
        <w:t xml:space="preserve">сплетено с...</w:t>
      </w:r>
      <w:r>
        <w:t xml:space="preserve">, сохранность переплёта, сохранность книги, организацию-держателя и инвентарный номер.</w:t>
      </w:r>
    </w:p>
    <w:p>
      <w:pPr>
        <w:pStyle w:val="BodyText"/>
      </w:pPr>
      <w:r>
        <w:t xml:space="preserve">Поле повторяется для разных экземпляров и не является поисковым. Для однотипных данных можно использовать мультиввод: в обычной форме коды вводятся в подполя одного повторения, а в табличном виде - в активное подполе разных повторений.</w:t>
      </w:r>
    </w:p>
    <w:bookmarkEnd w:id="142"/>
    <w:bookmarkStart w:id="143" w:name="Xb0086a7841313fa5dcd345f6626ab9d29a6b3f6"/>
    <w:p>
      <w:pPr>
        <w:pStyle w:val="Heading4"/>
      </w:pPr>
      <w:r>
        <w:t xml:space="preserve">94. Поля 399, 397 и 929: состояние и разъединённые данные</w:t>
      </w:r>
    </w:p>
    <w:p>
      <w:pPr>
        <w:pStyle w:val="FirstParagraph"/>
      </w:pPr>
      <w:r>
        <w:t xml:space="preserve">Поле</w:t>
      </w:r>
      <w:r>
        <w:t xml:space="preserve"> </w:t>
      </w:r>
      <w:r>
        <w:rPr>
          <w:rStyle w:val="VerbatimChar"/>
        </w:rPr>
        <w:t xml:space="preserve">399</w:t>
      </w:r>
      <w:r>
        <w:t xml:space="preserve"> </w:t>
      </w:r>
      <w:r>
        <w:t xml:space="preserve">содержит состояние или сохранность экземпляра и инвентарный номер. Поле заполняется свободно, повторяется для разных экземпляров и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397</w:t>
      </w:r>
      <w:r>
        <w:t xml:space="preserve"> </w:t>
      </w:r>
      <w:r>
        <w:t xml:space="preserve">содержит примечание о технике изготовления предмета. Оно заполняется свободно, повторяется и также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929</w:t>
      </w:r>
      <w:r>
        <w:t xml:space="preserve"> </w:t>
      </w:r>
      <w:r>
        <w:t xml:space="preserve">формируется автоматически из подполей</w:t>
      </w:r>
      <w:r>
        <w:t xml:space="preserve"> </w:t>
      </w:r>
      <w:r>
        <w:rPr>
          <w:rStyle w:val="VerbatimChar"/>
        </w:rPr>
        <w:t xml:space="preserve">Текст</w:t>
      </w:r>
      <w:r>
        <w:t xml:space="preserve"> </w:t>
      </w:r>
      <w:r>
        <w:t xml:space="preserve">поля</w:t>
      </w:r>
      <w:r>
        <w:t xml:space="preserve"> </w:t>
      </w:r>
      <w:r>
        <w:rPr>
          <w:rStyle w:val="VerbatimChar"/>
        </w:rPr>
        <w:t xml:space="preserve">316</w:t>
      </w:r>
      <w:r>
        <w:t xml:space="preserve">, если там присутствуют несколько значений, разделённых</w:t>
      </w:r>
      <w:r>
        <w:t xml:space="preserve"> </w:t>
      </w:r>
      <w:r>
        <w:rPr>
          <w:rStyle w:val="VerbatimChar"/>
        </w:rPr>
        <w:t xml:space="preserve">;</w:t>
      </w:r>
      <w:r>
        <w:t xml:space="preserve">. Данные</w:t>
      </w:r>
      <w:r>
        <w:t xml:space="preserve"> </w:t>
      </w:r>
      <w:r>
        <w:rPr>
          <w:rStyle w:val="VerbatimChar"/>
        </w:rPr>
        <w:t xml:space="preserve">929</w:t>
      </w:r>
      <w:r>
        <w:t xml:space="preserve"> </w:t>
      </w:r>
      <w:r>
        <w:t xml:space="preserve">попадают в служебный словарь особенностей экземпляра, который используется при вводе поля</w:t>
      </w:r>
      <w:r>
        <w:t xml:space="preserve"> </w:t>
      </w:r>
      <w:r>
        <w:rPr>
          <w:rStyle w:val="VerbatimChar"/>
        </w:rPr>
        <w:t xml:space="preserve">316</w:t>
      </w:r>
      <w:r>
        <w:t xml:space="preserve">; отдельные слова из</w:t>
      </w:r>
      <w:r>
        <w:t xml:space="preserve"> </w:t>
      </w:r>
      <w:r>
        <w:rPr>
          <w:rStyle w:val="VerbatimChar"/>
        </w:rPr>
        <w:t xml:space="preserve">929</w:t>
      </w:r>
      <w:r>
        <w:t xml:space="preserve"> </w:t>
      </w:r>
      <w:r>
        <w:t xml:space="preserve">включаются в словарь ключевых слов.</w:t>
      </w:r>
    </w:p>
    <w:bookmarkEnd w:id="143"/>
    <w:bookmarkStart w:id="144" w:name="страница-рл-краеведение"/>
    <w:p>
      <w:pPr>
        <w:pStyle w:val="Heading4"/>
      </w:pPr>
      <w:r>
        <w:t xml:space="preserve">95. Страница РЛ</w:t>
      </w:r>
      <w:r>
        <w:t xml:space="preserve"> </w:t>
      </w:r>
      <w:r>
        <w:rPr>
          <w:rStyle w:val="VerbatimChar"/>
        </w:rPr>
        <w:t xml:space="preserve">Краеведение</w:t>
      </w:r>
    </w:p>
    <w:p>
      <w:pPr>
        <w:pStyle w:val="FirstParagraph"/>
      </w:pPr>
      <w:r>
        <w:t xml:space="preserve">Страница</w:t>
      </w:r>
      <w:r>
        <w:t xml:space="preserve"> </w:t>
      </w:r>
      <w:r>
        <w:rPr>
          <w:rStyle w:val="VerbatimChar"/>
        </w:rPr>
        <w:t xml:space="preserve">Краеведение</w:t>
      </w:r>
      <w:r>
        <w:t xml:space="preserve"> </w:t>
      </w:r>
      <w:r>
        <w:t xml:space="preserve">содержит данные для отражения краеведческой информации в библиографической записи.</w:t>
      </w:r>
    </w:p>
    <w:bookmarkEnd w:id="144"/>
    <w:bookmarkStart w:id="145" w:name="поле-629-данные-по-краеведению"/>
    <w:p>
      <w:pPr>
        <w:pStyle w:val="Heading4"/>
      </w:pPr>
      <w:r>
        <w:t xml:space="preserve">96. Поле 629: данные по краеведению</w:t>
      </w:r>
    </w:p>
    <w:p>
      <w:pPr>
        <w:pStyle w:val="FirstParagraph"/>
      </w:pPr>
      <w:r>
        <w:t xml:space="preserve">Поле</w:t>
      </w:r>
      <w:r>
        <w:t xml:space="preserve"> </w:t>
      </w:r>
      <w:r>
        <w:rPr>
          <w:rStyle w:val="VerbatimChar"/>
        </w:rPr>
        <w:t xml:space="preserve">629</w:t>
      </w:r>
      <w:r>
        <w:t xml:space="preserve"> </w:t>
      </w:r>
      <w:r>
        <w:t xml:space="preserve">содержит признак необходимости добавочной карточки и данные по краеведению, выбираемые из справочника</w:t>
      </w:r>
      <w:r>
        <w:t xml:space="preserve"> </w:t>
      </w:r>
      <w:r>
        <w:rPr>
          <w:rStyle w:val="VerbatimChar"/>
        </w:rPr>
        <w:t xml:space="preserve">krv.mnu</w:t>
      </w:r>
      <w:r>
        <w:t xml:space="preserve">. Поле не повторяется.</w:t>
      </w:r>
    </w:p>
    <w:p>
      <w:pPr>
        <w:pStyle w:val="BodyText"/>
      </w:pPr>
      <w:r>
        <w:t xml:space="preserve">Справочник</w:t>
      </w:r>
      <w:r>
        <w:t xml:space="preserve"> </w:t>
      </w:r>
      <w:r>
        <w:rPr>
          <w:rStyle w:val="VerbatimChar"/>
        </w:rPr>
        <w:t xml:space="preserve">krv.mnu</w:t>
      </w:r>
      <w:r>
        <w:t xml:space="preserve"> </w:t>
      </w:r>
      <w:r>
        <w:t xml:space="preserve">из дистрибутива содержит возможные заголовки добавочных карточек для краеведческой информации и должен быть скорректирован пользователем в соответствии с локальной терминологией.</w:t>
      </w:r>
    </w:p>
    <w:p>
      <w:pPr>
        <w:pStyle w:val="BodyText"/>
      </w:pPr>
      <w:r>
        <w:t xml:space="preserve">Данные, введённые в</w:t>
      </w:r>
      <w:r>
        <w:t xml:space="preserve"> </w:t>
      </w:r>
      <w:r>
        <w:rPr>
          <w:rStyle w:val="VerbatimChar"/>
        </w:rPr>
        <w:t xml:space="preserve">629</w:t>
      </w:r>
      <w:r>
        <w:t xml:space="preserve">, включаются в словарь</w:t>
      </w:r>
      <w:r>
        <w:t xml:space="preserve"> </w:t>
      </w:r>
      <w:r>
        <w:rPr>
          <w:rStyle w:val="VerbatimChar"/>
        </w:rPr>
        <w:t xml:space="preserve">Краеведение</w:t>
      </w:r>
      <w:r>
        <w:t xml:space="preserve"> </w:t>
      </w:r>
      <w:r>
        <w:t xml:space="preserve">независимо от того, требуется ли подготовка добавочной карточки. Термин</w:t>
      </w:r>
      <w:r>
        <w:t xml:space="preserve"> </w:t>
      </w:r>
      <w:r>
        <w:rPr>
          <w:rStyle w:val="VerbatimChar"/>
        </w:rPr>
        <w:t xml:space="preserve">ВСЕГО</w:t>
      </w:r>
      <w:r>
        <w:t xml:space="preserve"> </w:t>
      </w:r>
      <w:r>
        <w:t xml:space="preserve">в этом словаре может использоваться как признак отбора всех документов, где заполнено поле</w:t>
      </w:r>
      <w:r>
        <w:t xml:space="preserve"> </w:t>
      </w:r>
      <w:r>
        <w:rPr>
          <w:rStyle w:val="VerbatimChar"/>
        </w:rPr>
        <w:t xml:space="preserve">629</w:t>
      </w:r>
      <w:r>
        <w:t xml:space="preserve">.</w:t>
      </w:r>
    </w:p>
    <w:bookmarkEnd w:id="145"/>
    <w:bookmarkStart w:id="146" w:name="специфические-поля-периодических-изданий"/>
    <w:p>
      <w:pPr>
        <w:pStyle w:val="Heading4"/>
      </w:pPr>
      <w:r>
        <w:t xml:space="preserve">97. Специфические поля периодических изданий</w:t>
      </w:r>
    </w:p>
    <w:p>
      <w:pPr>
        <w:pStyle w:val="FirstParagraph"/>
      </w:pPr>
      <w:r>
        <w:t xml:space="preserve">Для описаний сериальных и периодических изданий используются специальные поля связи со старыми и новыми заглавиями.</w:t>
      </w:r>
    </w:p>
    <w:bookmarkEnd w:id="146"/>
    <w:bookmarkStart w:id="147" w:name="Xcf72b48b673d9ab5bd7200314b440a2d0c71ed9"/>
    <w:p>
      <w:pPr>
        <w:pStyle w:val="Heading4"/>
      </w:pPr>
      <w:r>
        <w:t xml:space="preserve">98. Поле 430: предыдущие заглавия сериального издания</w:t>
      </w:r>
    </w:p>
    <w:p>
      <w:pPr>
        <w:pStyle w:val="FirstParagraph"/>
      </w:pPr>
      <w:r>
        <w:t xml:space="preserve">Поле</w:t>
      </w:r>
      <w:r>
        <w:t xml:space="preserve"> </w:t>
      </w:r>
      <w:r>
        <w:rPr>
          <w:rStyle w:val="VerbatimChar"/>
        </w:rPr>
        <w:t xml:space="preserve">430</w:t>
      </w:r>
      <w:r>
        <w:t xml:space="preserve"> </w:t>
      </w:r>
      <w:r>
        <w:t xml:space="preserve">содержит сведения о предыдущем заглавии описываемого сериального издания: тип изменения, старое заглавие, сведения об ответственности, год изменения, ISSN, шифр и примечание.</w:t>
      </w:r>
    </w:p>
    <w:p>
      <w:pPr>
        <w:pStyle w:val="BodyText"/>
      </w:pPr>
      <w:r>
        <w:t xml:space="preserve">Тип изменения выбирается через меню и определяет характер связи: издание заменило предыдущее, отделилось от него и так далее. Поле может повторяться, если издание образовано в результате слияния нескольких изданий.</w:t>
      </w:r>
    </w:p>
    <w:p>
      <w:pPr>
        <w:pStyle w:val="BodyText"/>
      </w:pPr>
      <w:r>
        <w:t xml:space="preserve">Старое заглавие включается в словарь заглавий, а отдельные слова - в словарь ключевых слов. Поэтому издание становится доступным в поиске и по старому, и по новому заглавию.</w:t>
      </w:r>
    </w:p>
    <w:p>
      <w:pPr>
        <w:pStyle w:val="BodyText"/>
      </w:pPr>
      <w:r>
        <w:t xml:space="preserve">Заглавие можно вводить из словаря. Вместе с ним могут переноситься ранее введённые сведения: ISSN, год изменения, сведения об ответственности и шифр.</w:t>
      </w:r>
    </w:p>
    <w:bookmarkEnd w:id="147"/>
    <w:bookmarkStart w:id="148" w:name="Xeaa795edcdcd46c39592cd0fe17cfaaf52cf220"/>
    <w:p>
      <w:pPr>
        <w:pStyle w:val="Heading4"/>
      </w:pPr>
      <w:r>
        <w:t xml:space="preserve">99. Поле 440: последующие заглавия сериального издания</w:t>
      </w:r>
    </w:p>
    <w:p>
      <w:pPr>
        <w:pStyle w:val="FirstParagraph"/>
      </w:pPr>
      <w:r>
        <w:t xml:space="preserve">Поле</w:t>
      </w:r>
      <w:r>
        <w:t xml:space="preserve"> </w:t>
      </w:r>
      <w:r>
        <w:rPr>
          <w:rStyle w:val="VerbatimChar"/>
        </w:rPr>
        <w:t xml:space="preserve">440</w:t>
      </w:r>
      <w:r>
        <w:t xml:space="preserve"> </w:t>
      </w:r>
      <w:r>
        <w:t xml:space="preserve">содержит сведения о последующем заглавии сериального издания, если оно прекращает выходить под прежним заглавием. В таком случае в выходных данных должна быть указана дата окончания издания, а в базе должна существовать новая запись на новое заглавие с заполненным полем предыдущего заглавия.</w:t>
      </w:r>
    </w:p>
    <w:p>
      <w:pPr>
        <w:pStyle w:val="BodyText"/>
      </w:pPr>
      <w:r>
        <w:t xml:space="preserve">В поле вводятся тип изменения, новое заглавие, сведения об ответственности, год изменения, ISSN, шифр и примечание. Тип изменения выбирается через меню и отражает характер связи: издание заменено другим, переименовано и так далее.</w:t>
      </w:r>
    </w:p>
    <w:p>
      <w:pPr>
        <w:pStyle w:val="BodyText"/>
      </w:pPr>
      <w:r>
        <w:t xml:space="preserve">Поле может повторяться, если издание разделилось на несколько последующих изданий.</w:t>
      </w:r>
    </w:p>
    <w:bookmarkEnd w:id="148"/>
    <w:bookmarkEnd w:id="149"/>
    <w:bookmarkStart w:id="184" w:name="порядок-работы-каталогизатора"/>
    <w:p>
      <w:pPr>
        <w:pStyle w:val="Heading3"/>
      </w:pPr>
      <w:r>
        <w:t xml:space="preserve">Порядок работы каталогизатора</w:t>
      </w:r>
    </w:p>
    <w:p>
      <w:pPr>
        <w:pStyle w:val="FirstParagraph"/>
      </w:pPr>
      <w:r>
        <w:t xml:space="preserve">Этот раздел дополняет пошаговые страницы</w:t>
      </w:r>
      <w:r>
        <w:t xml:space="preserve"> </w:t>
      </w:r>
      <w:hyperlink r:id="rId10">
        <w:r>
          <w:rPr>
            <w:rStyle w:val="Hyperlink"/>
          </w:rPr>
          <w:t xml:space="preserve">создания записи</w:t>
        </w:r>
      </w:hyperlink>
      <w:r>
        <w:t xml:space="preserve">,</w:t>
      </w:r>
      <w:r>
        <w:t xml:space="preserve"> </w:t>
      </w:r>
      <w:hyperlink r:id="rId11">
        <w:r>
          <w:rPr>
            <w:rStyle w:val="Hyperlink"/>
          </w:rPr>
          <w:t xml:space="preserve">редактирования записи</w:t>
        </w:r>
      </w:hyperlink>
      <w:r>
        <w:t xml:space="preserve"> </w:t>
      </w:r>
      <w:r>
        <w:t xml:space="preserve">и</w:t>
      </w:r>
      <w:r>
        <w:t xml:space="preserve"> </w:t>
      </w:r>
      <w:hyperlink r:id="rId12">
        <w:r>
          <w:rPr>
            <w:rStyle w:val="Hyperlink"/>
          </w:rPr>
          <w:t xml:space="preserve">создания записи на основе выбранной</w:t>
        </w:r>
      </w:hyperlink>
      <w:r>
        <w:t xml:space="preserve">. Здесь описана методика принятия решений: какой вид описания выбрать, какие данные подготовить до ввода и когда использовать поиск, копирование, значения по умолчанию и предварительное сохранение.</w:t>
      </w:r>
    </w:p>
    <w:bookmarkStart w:id="150" w:name="общая-схема-работы"/>
    <w:p>
      <w:pPr>
        <w:pStyle w:val="Heading4"/>
      </w:pPr>
      <w:r>
        <w:t xml:space="preserve">1. Общая схема работы</w:t>
      </w:r>
    </w:p>
    <w:p>
      <w:pPr>
        <w:pStyle w:val="FirstParagraph"/>
      </w:pPr>
      <w:r>
        <w:t xml:space="preserve">Каталогизатор создаёт и ведёт записи электронного каталога: вводит новые библиографические описания книг, журналов и статей, корректирует ранее введённые записи и регистрирует поступление номеров периодических изданий.</w:t>
      </w:r>
    </w:p>
    <w:p>
      <w:pPr>
        <w:pStyle w:val="BodyText"/>
      </w:pPr>
      <w:r>
        <w:t xml:space="preserve">Для однотомного издания составляется монографическое описание. Для тома многотомного, продолжающегося или серийного издания каталогизатор выбирает монографическое или сводное описание. Сводное описание используется, когда объектом является журнал или другое сериальное издание в целом, а отдельные номера не требуют описания на монографическом уровне.</w:t>
      </w:r>
    </w:p>
    <w:p>
      <w:pPr>
        <w:pStyle w:val="BodyText"/>
      </w:pPr>
      <w:r>
        <w:t xml:space="preserve">Работа с партией поступлений должна начинаться с регистрации партии. Если используется интегрированная технология, в базе комплектования создаётся запись книги суммарного учёта. При вводе библиографического описания каждой книги в сведения об экземпляре вносится идентификатор партии: номер записи КСУ и/или номер акта индивидуального учёта. Это позволяет анализировать поступления и готовить выходные документы по отдельной партии или за период.</w:t>
      </w:r>
    </w:p>
    <w:bookmarkEnd w:id="150"/>
    <w:bookmarkStart w:id="151" w:name="подготовка-к-вводу-книг"/>
    <w:p>
      <w:pPr>
        <w:pStyle w:val="Heading4"/>
      </w:pPr>
      <w:r>
        <w:t xml:space="preserve">2. Подготовка к вводу книг</w:t>
      </w:r>
    </w:p>
    <w:p>
      <w:pPr>
        <w:pStyle w:val="FirstParagraph"/>
      </w:pPr>
      <w:r>
        <w:t xml:space="preserve">Перед вводом порцию книг полезно рассортировать по видам издания и видам описания. Это уменьшает число смен рабочих листов и позволяет использовать значения по умолчанию для общих данных.</w:t>
      </w:r>
    </w:p>
    <w:p>
      <w:pPr>
        <w:pStyle w:val="BodyText"/>
      </w:pPr>
      <w:r>
        <w:t xml:space="preserve">До начала ввода рекомендуется установить фиксированные параметры: этап работы, ФИО, номер КСУ и номер акта. Эти значения будут автоматически переноситься в соответствующие поля создаваемых записей.</w:t>
      </w:r>
    </w:p>
    <w:p>
      <w:pPr>
        <w:pStyle w:val="BodyText"/>
      </w:pPr>
      <w:r>
        <w:t xml:space="preserve">Если у группы документов есть общие данные, их можно сохранить одним из способов:</w:t>
      </w:r>
    </w:p>
    <w:p>
      <w:pPr>
        <w:pStyle w:val="Compact"/>
        <w:numPr>
          <w:ilvl w:val="0"/>
          <w:numId w:val="1030"/>
        </w:numPr>
      </w:pPr>
      <w:r>
        <w:t xml:space="preserve">использовать значения по умолчанию для текущего рабочего листа;</w:t>
      </w:r>
    </w:p>
    <w:p>
      <w:pPr>
        <w:pStyle w:val="Compact"/>
        <w:numPr>
          <w:ilvl w:val="0"/>
          <w:numId w:val="1030"/>
        </w:numPr>
      </w:pPr>
      <w:r>
        <w:t xml:space="preserve">скопировать общие поля в буферную запись и вставлять их в другие документы;</w:t>
      </w:r>
    </w:p>
    <w:p>
      <w:pPr>
        <w:pStyle w:val="Compact"/>
        <w:numPr>
          <w:ilvl w:val="0"/>
          <w:numId w:val="1030"/>
        </w:numPr>
      </w:pPr>
      <w:r>
        <w:t xml:space="preserve">использовать произвольные параметры настройки, если одно и то же значение должно применяться в разных сеансах работы.</w:t>
      </w:r>
    </w:p>
    <w:bookmarkEnd w:id="151"/>
    <w:bookmarkStart w:id="152" w:name="ввод-однотомного-издания"/>
    <w:p>
      <w:pPr>
        <w:pStyle w:val="Heading4"/>
      </w:pPr>
      <w:r>
        <w:t xml:space="preserve">3. Ввод однотомного издания</w:t>
      </w:r>
    </w:p>
    <w:p>
      <w:pPr>
        <w:pStyle w:val="FirstParagraph"/>
      </w:pPr>
      <w:r>
        <w:t xml:space="preserve">Для однотомного издания выбирается рабочий лист, соответствующий методике составления библиографической записи. Обычно это рабочий лист описания под индивидуальным или коллективным автором, под заглавием либо под временным коллективным автором.</w:t>
      </w:r>
    </w:p>
    <w:p>
      <w:pPr>
        <w:pStyle w:val="BodyText"/>
      </w:pPr>
      <w:r>
        <w:t xml:space="preserve">Заполнение выполняется по страницам рабочего листа с учётом общих правил и специфики отдельных полей. При вводе нужно просматривать формируемое описание в выходном формате, особенно перед переходом к последующим страницам рабочего листа.</w:t>
      </w:r>
    </w:p>
    <w:p>
      <w:pPr>
        <w:pStyle w:val="BodyText"/>
      </w:pPr>
      <w:r>
        <w:t xml:space="preserve">Первая страница содержит данные для автоматической сверки на дублетность. Если система находит идентичный документ, ввод блокируется. В этом случае нужно проверить данные, по которым выполнялась сверка, либо прекратить ввод текущей записи и зарегистрировать новый экземпляр уже существующей записи через корректировку.</w:t>
      </w:r>
    </w:p>
    <w:p>
      <w:pPr>
        <w:pStyle w:val="BodyText"/>
      </w:pPr>
      <w:r>
        <w:t xml:space="preserve">Для сверки на дублетность достаточно сначала вводить краткие данные, предусмотренные рабочим листом. Это сокращает объём лишней работы, если запись окажется дублетной.</w:t>
      </w:r>
    </w:p>
    <w:bookmarkEnd w:id="152"/>
    <w:bookmarkStart w:id="153" w:name="предварительное-сохранение"/>
    <w:p>
      <w:pPr>
        <w:pStyle w:val="Heading4"/>
      </w:pPr>
      <w:r>
        <w:t xml:space="preserve">4. Предварительное сохранение</w:t>
      </w:r>
    </w:p>
    <w:p>
      <w:pPr>
        <w:pStyle w:val="FirstParagraph"/>
      </w:pPr>
      <w:r>
        <w:t xml:space="preserve">Во время ввода некоторых полей полезно выполнять предварительное сохранение, чтобы система сформировала служебные и производные данные, которые затем можно проверить и скорректировать.</w:t>
      </w:r>
    </w:p>
    <w:p>
      <w:pPr>
        <w:pStyle w:val="BodyText"/>
      </w:pPr>
      <w:r>
        <w:t xml:space="preserve">Предварительное сохранение особенно важно:</w:t>
      </w:r>
    </w:p>
    <w:p>
      <w:pPr>
        <w:pStyle w:val="Compact"/>
        <w:numPr>
          <w:ilvl w:val="0"/>
          <w:numId w:val="1031"/>
        </w:numPr>
      </w:pPr>
      <w:r>
        <w:t xml:space="preserve">при вводе полей, где автоматически формируются или пополняются сведения об ответственности, например содержания, приплетённых изданий, источника перевода или статей сборника без общего заглавия;</w:t>
      </w:r>
    </w:p>
    <w:p>
      <w:pPr>
        <w:pStyle w:val="Compact"/>
        <w:numPr>
          <w:ilvl w:val="0"/>
          <w:numId w:val="1031"/>
        </w:numPr>
      </w:pPr>
      <w:r>
        <w:t xml:space="preserve">при вводе статуса</w:t>
      </w:r>
      <w:r>
        <w:t xml:space="preserve"> </w:t>
      </w:r>
      <w:r>
        <w:rPr>
          <w:rStyle w:val="VerbatimChar"/>
        </w:rPr>
        <w:t xml:space="preserve">R</w:t>
      </w:r>
      <w:r>
        <w:t xml:space="preserve"> </w:t>
      </w:r>
      <w:r>
        <w:t xml:space="preserve">в сведениях об экземплярах, когда нужно размножить экземпляры и затем уточнить штрих-коды, инвентарные номера или другие данные.</w:t>
      </w:r>
    </w:p>
    <w:p>
      <w:pPr>
        <w:pStyle w:val="FirstParagraph"/>
      </w:pPr>
      <w:r>
        <w:t xml:space="preserve">После сохранения нужно просмотреть запись и при необходимости откорректировать сформированные сведения: константы, падежи фамилий, форму имени, сведения об экземплярах и другие автоматически созданные данные.</w:t>
      </w:r>
    </w:p>
    <w:bookmarkEnd w:id="153"/>
    <w:bookmarkStart w:id="154" w:name="ввод-томов-многотомных-изданий"/>
    <w:p>
      <w:pPr>
        <w:pStyle w:val="Heading4"/>
      </w:pPr>
      <w:r>
        <w:t xml:space="preserve">5. Ввод томов многотомных изданий</w:t>
      </w:r>
    </w:p>
    <w:p>
      <w:pPr>
        <w:pStyle w:val="FirstParagraph"/>
      </w:pPr>
      <w:r>
        <w:t xml:space="preserve">Том многотомного издания можно описывать как самостоятельное издание. В этом случае методика близка к вводу однотомного издания.</w:t>
      </w:r>
    </w:p>
    <w:p>
      <w:pPr>
        <w:pStyle w:val="BodyText"/>
      </w:pPr>
      <w:r>
        <w:t xml:space="preserve">Если поступило несколько томов одного издания, можно сократить ввод общих данных:</w:t>
      </w:r>
    </w:p>
    <w:p>
      <w:pPr>
        <w:pStyle w:val="Compact"/>
        <w:numPr>
          <w:ilvl w:val="0"/>
          <w:numId w:val="1032"/>
        </w:numPr>
      </w:pPr>
      <w:r>
        <w:t xml:space="preserve">ввести общие сведения при обработке первого тома и сохранить их как значения по умолчанию;</w:t>
      </w:r>
    </w:p>
    <w:p>
      <w:pPr>
        <w:pStyle w:val="Compact"/>
        <w:numPr>
          <w:ilvl w:val="0"/>
          <w:numId w:val="1032"/>
        </w:numPr>
      </w:pPr>
      <w:r>
        <w:t xml:space="preserve">найти ранее введённый том по автору или заглавию общей части и создать новую запись копированием;</w:t>
      </w:r>
    </w:p>
    <w:p>
      <w:pPr>
        <w:pStyle w:val="Compact"/>
        <w:numPr>
          <w:ilvl w:val="0"/>
          <w:numId w:val="1032"/>
        </w:numPr>
      </w:pPr>
      <w:r>
        <w:t xml:space="preserve">использовать таблицу переформатирования, которая копирует только общую часть многотомного издания.</w:t>
      </w:r>
    </w:p>
    <w:p>
      <w:pPr>
        <w:pStyle w:val="FirstParagraph"/>
      </w:pPr>
      <w:r>
        <w:t xml:space="preserve">При копировании записи тома сведения об экземплярах переносятся только частично. Обычно сохраняются место хранения и канал поступления, а статус нового экземпляра определяется как заказанный. Для реально поступивших экземпляров нужно ввести статус</w:t>
      </w:r>
      <w:r>
        <w:t xml:space="preserve"> </w:t>
      </w:r>
      <w:r>
        <w:rPr>
          <w:rStyle w:val="VerbatimChar"/>
        </w:rPr>
        <w:t xml:space="preserve">0</w:t>
      </w:r>
      <w:r>
        <w:t xml:space="preserve">, инвентарный номер и/или штрих-код; дата регистрации и идентификатор партии могут быть добавлены автоматически при сохранении.</w:t>
      </w:r>
    </w:p>
    <w:p>
      <w:pPr>
        <w:pStyle w:val="BodyText"/>
      </w:pPr>
      <w:r>
        <w:t xml:space="preserve">Если том имеет частное заглавие, монографическое описание выполняется как для однотомного издания, а общее заглавие многотомного издания и номер тома вводятся в область серии. Если проверка на дублетность обнаруживает совпадение, запись нужно анализировать особенно внимательно: расхождение между поиском общей части и дублетной сверкой может указывать на ошибку в ранее введённом описании.</w:t>
      </w:r>
    </w:p>
    <w:p>
      <w:pPr>
        <w:pStyle w:val="BodyText"/>
      </w:pPr>
      <w:r>
        <w:t xml:space="preserve">Сводное описание тома вводится на рабочем листе</w:t>
      </w:r>
      <w:r>
        <w:t xml:space="preserve"> </w:t>
      </w:r>
      <w:r>
        <w:rPr>
          <w:rStyle w:val="VerbatimChar"/>
        </w:rPr>
        <w:t xml:space="preserve">SPEC</w:t>
      </w:r>
      <w:r>
        <w:t xml:space="preserve">. Оно состоит из данных общей части и спецификации тома. При вводе нескольких томов одного издания можно копировать первый введённый том или использовать значения по умолчанию для общей части.</w:t>
      </w:r>
    </w:p>
    <w:p>
      <w:pPr>
        <w:pStyle w:val="BodyText"/>
      </w:pPr>
      <w:r>
        <w:t xml:space="preserve">При копировании томов нужно обязательно проверить нумерацию, заглавие, выходные данные, количественные характеристики и сведения об экземплярах. После копирования запись нужно просмотреть в выходном формате и убедиться, что описание соответствует конкретному тому.</w:t>
      </w:r>
    </w:p>
    <w:p>
      <w:pPr>
        <w:pStyle w:val="BodyText"/>
      </w:pPr>
      <w:r>
        <w:t xml:space="preserve">Основные таблицы преобразования при копировании:</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Таблица</w:t>
            </w:r>
          </w:p>
        </w:tc>
        <w:tc>
          <w:tcPr/>
          <w:p>
            <w:pPr>
              <w:pStyle w:val="Compact"/>
            </w:pPr>
            <w:r>
              <w:t xml:space="preserve">Когда применяется</w:t>
            </w:r>
          </w:p>
        </w:tc>
        <w:tc>
          <w:tcPr/>
          <w:p>
            <w:pPr>
              <w:pStyle w:val="Compact"/>
            </w:pPr>
            <w:r>
              <w:t xml:space="preserve">Что переносится</w:t>
            </w:r>
          </w:p>
        </w:tc>
        <w:tc>
          <w:tcPr/>
          <w:p>
            <w:pPr>
              <w:pStyle w:val="Compact"/>
            </w:pPr>
            <w:r>
              <w:t xml:space="preserve">Что проверить</w:t>
            </w:r>
          </w:p>
        </w:tc>
      </w:tr>
      <w:tr>
        <w:tc>
          <w:tcPr/>
          <w:p>
            <w:pPr>
              <w:pStyle w:val="Compact"/>
            </w:pPr>
            <w:r>
              <w:rPr>
                <w:rStyle w:val="VerbatimChar"/>
              </w:rPr>
              <w:t xml:space="preserve">KPS</w:t>
            </w:r>
          </w:p>
        </w:tc>
        <w:tc>
          <w:tcPr/>
          <w:p>
            <w:pPr>
              <w:pStyle w:val="Compact"/>
            </w:pPr>
            <w:r>
              <w:t xml:space="preserve">Копирование сводного описания тома</w:t>
            </w:r>
          </w:p>
        </w:tc>
        <w:tc>
          <w:tcPr/>
          <w:p>
            <w:pPr>
              <w:pStyle w:val="Compact"/>
            </w:pPr>
            <w:r>
              <w:t xml:space="preserve">Данные общей части, коды, серия без нумерации, систематизация, коллективы, сведения о приплетённых и параллельных изданиях, место хранения и канал поступления</w:t>
            </w:r>
          </w:p>
        </w:tc>
        <w:tc>
          <w:tcPr/>
          <w:p>
            <w:pPr>
              <w:pStyle w:val="Compact"/>
            </w:pPr>
            <w:r>
              <w:t xml:space="preserve">Выходные данные, количественные характеристики, номер тома и серии, сведения об экземплярах</w:t>
            </w:r>
          </w:p>
        </w:tc>
      </w:tr>
      <w:tr>
        <w:tc>
          <w:tcPr/>
          <w:p>
            <w:pPr>
              <w:pStyle w:val="Compact"/>
            </w:pPr>
            <w:r>
              <w:rPr>
                <w:rStyle w:val="VerbatimChar"/>
              </w:rPr>
              <w:t xml:space="preserve">KPM</w:t>
            </w:r>
          </w:p>
        </w:tc>
        <w:tc>
          <w:tcPr/>
          <w:p>
            <w:pPr>
              <w:pStyle w:val="Compact"/>
            </w:pPr>
            <w:r>
              <w:t xml:space="preserve">Копирование монографического, сводного или аналитического описания</w:t>
            </w:r>
          </w:p>
        </w:tc>
        <w:tc>
          <w:tcPr/>
          <w:p>
            <w:pPr>
              <w:pStyle w:val="Compact"/>
            </w:pPr>
            <w:r>
              <w:t xml:space="preserve">Большинство элементов данных, кроме аннотации, содержания и самостоятельных приложений; для экземпляров - место хранения</w:t>
            </w:r>
          </w:p>
        </w:tc>
        <w:tc>
          <w:tcPr/>
          <w:p>
            <w:pPr>
              <w:pStyle w:val="Compact"/>
            </w:pPr>
            <w:r>
              <w:t xml:space="preserve">Выходные данные, количественные характеристики, нумерацию и сведения об экземплярах</w:t>
            </w:r>
          </w:p>
        </w:tc>
      </w:tr>
      <w:tr>
        <w:tc>
          <w:tcPr/>
          <w:p>
            <w:pPr>
              <w:pStyle w:val="Compact"/>
            </w:pPr>
            <w:r>
              <w:rPr>
                <w:rStyle w:val="VerbatimChar"/>
              </w:rPr>
              <w:t xml:space="preserve">KPST</w:t>
            </w:r>
          </w:p>
        </w:tc>
        <w:tc>
          <w:tcPr/>
          <w:p>
            <w:pPr>
              <w:pStyle w:val="Compact"/>
            </w:pPr>
            <w:r>
              <w:t xml:space="preserve">Создание аналитического описания из монографического, сводного описания или номера журнала</w:t>
            </w:r>
          </w:p>
        </w:tc>
        <w:tc>
          <w:tcPr/>
          <w:p>
            <w:pPr>
              <w:pStyle w:val="Compact"/>
            </w:pPr>
            <w:r>
              <w:t xml:space="preserve">Данные документа-источника, коды, систематизацию, рабочий лист</w:t>
            </w:r>
            <w:r>
              <w:t xml:space="preserve"> </w:t>
            </w:r>
            <w:r>
              <w:rPr>
                <w:rStyle w:val="VerbatimChar"/>
              </w:rPr>
              <w:t xml:space="preserve">ASP</w:t>
            </w:r>
          </w:p>
        </w:tc>
        <w:tc>
          <w:tcPr/>
          <w:p>
            <w:pPr>
              <w:pStyle w:val="Compact"/>
            </w:pPr>
            <w:r>
              <w:t xml:space="preserve">Поля аналитического описания статьи</w:t>
            </w:r>
          </w:p>
        </w:tc>
      </w:tr>
      <w:tr>
        <w:tc>
          <w:tcPr/>
          <w:p>
            <w:pPr>
              <w:pStyle w:val="Compact"/>
            </w:pPr>
            <w:r>
              <w:rPr>
                <w:rStyle w:val="VerbatimChar"/>
              </w:rPr>
              <w:t xml:space="preserve">KPSU</w:t>
            </w:r>
          </w:p>
        </w:tc>
        <w:tc>
          <w:tcPr/>
          <w:p>
            <w:pPr>
              <w:pStyle w:val="Compact"/>
            </w:pPr>
            <w:r>
              <w:t xml:space="preserve">Создание статьи юридического документа</w:t>
            </w:r>
          </w:p>
        </w:tc>
        <w:tc>
          <w:tcPr/>
          <w:p>
            <w:pPr>
              <w:pStyle w:val="Compact"/>
            </w:pPr>
            <w:r>
              <w:t xml:space="preserve">Данные источника, коды, систематизацию, рабочий лист</w:t>
            </w:r>
            <w:r>
              <w:t xml:space="preserve"> </w:t>
            </w:r>
            <w:r>
              <w:rPr>
                <w:rStyle w:val="VerbatimChar"/>
              </w:rPr>
              <w:t xml:space="preserve">AUNTD</w:t>
            </w:r>
          </w:p>
        </w:tc>
        <w:tc>
          <w:tcPr/>
          <w:p>
            <w:pPr>
              <w:pStyle w:val="Compact"/>
            </w:pPr>
            <w:r>
              <w:t xml:space="preserve">Поля аналитического описания юридического документа</w:t>
            </w:r>
          </w:p>
        </w:tc>
      </w:tr>
      <w:tr>
        <w:tc>
          <w:tcPr/>
          <w:p>
            <w:pPr>
              <w:pStyle w:val="Compact"/>
            </w:pPr>
            <w:r>
              <w:rPr>
                <w:rStyle w:val="VerbatimChar"/>
              </w:rPr>
              <w:t xml:space="preserve">STN</w:t>
            </w:r>
          </w:p>
        </w:tc>
        <w:tc>
          <w:tcPr/>
          <w:p>
            <w:pPr>
              <w:pStyle w:val="Compact"/>
            </w:pPr>
            <w:r>
              <w:t xml:space="preserve">Создание аналитики из строки содержания</w:t>
            </w:r>
          </w:p>
        </w:tc>
        <w:tc>
          <w:tcPr/>
          <w:p>
            <w:pPr>
              <w:pStyle w:val="Compact"/>
            </w:pPr>
            <w:r>
              <w:t xml:space="preserve">Данные источника и сведения из нужной строки поля содержания</w:t>
            </w:r>
          </w:p>
        </w:tc>
        <w:tc>
          <w:tcPr/>
          <w:p>
            <w:pPr>
              <w:pStyle w:val="Compact"/>
            </w:pPr>
            <w:r>
              <w:t xml:space="preserve">Номер строки содержания и данные статьи</w:t>
            </w:r>
          </w:p>
        </w:tc>
      </w:tr>
      <w:tr>
        <w:tc>
          <w:tcPr/>
          <w:p>
            <w:pPr>
              <w:pStyle w:val="Compact"/>
            </w:pPr>
            <w:r>
              <w:rPr>
                <w:rStyle w:val="VerbatimChar"/>
              </w:rPr>
              <w:t xml:space="preserve">ST_481</w:t>
            </w:r>
          </w:p>
        </w:tc>
        <w:tc>
          <w:tcPr/>
          <w:p>
            <w:pPr>
              <w:pStyle w:val="Compact"/>
            </w:pPr>
            <w:r>
              <w:t xml:space="preserve">Создание аналитики на аллигат</w:t>
            </w:r>
          </w:p>
        </w:tc>
        <w:tc>
          <w:tcPr/>
          <w:p>
            <w:pPr>
              <w:pStyle w:val="Compact"/>
            </w:pPr>
            <w:r>
              <w:t xml:space="preserve">Данные документа, к которому приплетено издание, и сведения из поля</w:t>
            </w:r>
            <w:r>
              <w:t xml:space="preserve"> </w:t>
            </w:r>
            <w:r>
              <w:rPr>
                <w:rStyle w:val="VerbatimChar"/>
              </w:rPr>
              <w:t xml:space="preserve">481</w:t>
            </w:r>
          </w:p>
        </w:tc>
        <w:tc>
          <w:tcPr/>
          <w:p>
            <w:pPr>
              <w:pStyle w:val="Compact"/>
            </w:pPr>
            <w:r>
              <w:t xml:space="preserve">Номер поля</w:t>
            </w:r>
            <w:r>
              <w:t xml:space="preserve"> </w:t>
            </w:r>
            <w:r>
              <w:rPr>
                <w:rStyle w:val="VerbatimChar"/>
              </w:rPr>
              <w:t xml:space="preserve">481</w:t>
            </w:r>
            <w:r>
              <w:t xml:space="preserve"> </w:t>
            </w:r>
            <w:r>
              <w:t xml:space="preserve">и данные аналитического описания</w:t>
            </w:r>
          </w:p>
        </w:tc>
      </w:tr>
    </w:tbl>
    <w:bookmarkEnd w:id="154"/>
    <w:bookmarkStart w:id="156" w:name="корректура-документов"/>
    <w:p>
      <w:pPr>
        <w:pStyle w:val="Heading4"/>
      </w:pPr>
      <w:r>
        <w:t xml:space="preserve">6. Корректура документов</w:t>
      </w:r>
    </w:p>
    <w:p>
      <w:pPr>
        <w:pStyle w:val="FirstParagraph"/>
      </w:pPr>
      <w:r>
        <w:t xml:space="preserve">Корректура используется для исправления ошибок, пополнения сведений о новых экземплярах и уточнения ранее введённых данных. Интерфейсный порядок редактирования описан в разделе</w:t>
      </w:r>
      <w:r>
        <w:t xml:space="preserve"> </w:t>
      </w:r>
      <w:hyperlink r:id="rId11">
        <w:r>
          <w:rPr>
            <w:rStyle w:val="Hyperlink"/>
          </w:rPr>
          <w:t xml:space="preserve">Редактирование записи</w:t>
        </w:r>
      </w:hyperlink>
      <w:r>
        <w:t xml:space="preserve">; здесь важны методические правила отбора документов и контроля связанных записей.</w:t>
      </w:r>
    </w:p>
    <w:p>
      <w:pPr>
        <w:pStyle w:val="BodyText"/>
      </w:pPr>
      <w:r>
        <w:t xml:space="preserve">При корректировке записи книги рабочий лист обычно определяется автоматически по коду рабочего листа, уже записанному в документе. При необходимости рабочий лист можно изменить по правилам смены рабочего листа.</w:t>
      </w:r>
    </w:p>
    <w:p>
      <w:pPr>
        <w:pStyle w:val="BodyText"/>
      </w:pPr>
      <w:r>
        <w:t xml:space="preserve">Новые экземпляры при доукомплектовании могут переноситься из базы комплектования автоматически. Списание отдельных экземпляров обычно выполняется через АРМ</w:t>
      </w:r>
      <w:r>
        <w:t xml:space="preserve"> </w:t>
      </w:r>
      <w:r>
        <w:rPr>
          <w:rStyle w:val="VerbatimChar"/>
        </w:rPr>
        <w:t xml:space="preserve">Комплектатор</w:t>
      </w:r>
      <w:r>
        <w:t xml:space="preserve">, а проверка фонда - через АРМ</w:t>
      </w:r>
      <w:r>
        <w:t xml:space="preserve"> </w:t>
      </w:r>
      <w:r>
        <w:rPr>
          <w:rStyle w:val="VerbatimChar"/>
        </w:rPr>
        <w:t xml:space="preserve">Комплектатор</w:t>
      </w:r>
      <w:r>
        <w:t xml:space="preserve"> </w:t>
      </w:r>
      <w:r>
        <w:t xml:space="preserve">или дополнительно через АРМ</w:t>
      </w:r>
      <w:r>
        <w:t xml:space="preserve"> </w:t>
      </w:r>
      <w:r>
        <w:rPr>
          <w:rStyle w:val="VerbatimChar"/>
        </w:rPr>
        <w:t xml:space="preserve">Каталогизатор</w:t>
      </w:r>
      <w:r>
        <w:t xml:space="preserve">.</w:t>
      </w:r>
    </w:p>
    <w:p>
      <w:pPr>
        <w:pStyle w:val="BodyText"/>
      </w:pPr>
      <w:r>
        <w:t xml:space="preserve">Особое внимание нужно уделять ошибкам, которые могли размножиться при копировании или вводе через словари. Например, ошибка в заглавии общей части многотомного издания, названии коллектива, заглавии серии или предметной рубрике может попасть сразу в несколько связанных записей.</w:t>
      </w:r>
    </w:p>
    <w:p>
      <w:pPr>
        <w:pStyle w:val="BodyText"/>
      </w:pPr>
      <w:r>
        <w:t xml:space="preserve">Если обнаружена такая ошибка, нужно найти все связанные документы. Для поиска следует использовать общий набор элементов данных: например, заглавие общей части многотомника. Для массового исправления целесообразно использовать глобальную корректировку.</w:t>
      </w:r>
    </w:p>
    <w:p>
      <w:pPr>
        <w:pStyle w:val="BodyText"/>
      </w:pPr>
      <w:r>
        <w:t xml:space="preserve">Если в глобальной корректировке повторяется общий фрагмент команд, его можно вынести во вложенное GBL-задание и подключать оператором</w:t>
      </w:r>
      <w:r>
        <w:t xml:space="preserve"> </w:t>
      </w:r>
      <w:r>
        <w:rPr>
          <w:rStyle w:val="VerbatimChar"/>
        </w:rPr>
        <w:t xml:space="preserve">@</w:t>
      </w:r>
      <w:r>
        <w:t xml:space="preserve">. Синтаксис подключения и ограничения описаны в разделе</w:t>
      </w:r>
      <w:r>
        <w:t xml:space="preserve"> </w:t>
      </w:r>
      <w:hyperlink r:id="rId155">
        <w:r>
          <w:rPr>
            <w:rStyle w:val="Hyperlink"/>
          </w:rPr>
          <w:t xml:space="preserve">Оператор включения вложенного GBL-задания</w:t>
        </w:r>
      </w:hyperlink>
      <w:r>
        <w:t xml:space="preserve">.</w:t>
      </w:r>
    </w:p>
    <w:p>
      <w:pPr>
        <w:pStyle w:val="BodyText"/>
      </w:pPr>
      <w:r>
        <w:t xml:space="preserve">Полезная профилактика ошибок - периодический просмотр словарей авторов, заглавий, коллективов, ключевых слов и других поисковых словарей. Рядом стоящие варианты одного и того же термина часто показывают разные написания, опечатки или разнобой в нормируемых данных.</w:t>
      </w:r>
    </w:p>
    <w:p>
      <w:pPr>
        <w:pStyle w:val="BodyText"/>
      </w:pPr>
      <w:r>
        <w:t xml:space="preserve">Если для словаря доступна корректировка по словарю, ошибочный термин можно исправлять из словаря. При этом нужно учитывать, что один термин может быть представлен в записях разными формами и подполями. Если в протоколе появляется сообщение</w:t>
      </w:r>
      <w:r>
        <w:t xml:space="preserve"> </w:t>
      </w:r>
      <w:r>
        <w:rPr>
          <w:rStyle w:val="VerbatimChar"/>
        </w:rPr>
        <w:t xml:space="preserve">Нет поля/данных для корректировки</w:t>
      </w:r>
      <w:r>
        <w:t xml:space="preserve">, часть документов может потребовать отдельной корректировки другим вариантом заменяемого значения.</w:t>
      </w:r>
    </w:p>
    <w:bookmarkEnd w:id="156"/>
    <w:bookmarkStart w:id="158" w:name="заимствование-библиографических-описаний"/>
    <w:p>
      <w:pPr>
        <w:pStyle w:val="Heading4"/>
      </w:pPr>
      <w:r>
        <w:t xml:space="preserve">7. Заимствование библиографических описаний</w:t>
      </w:r>
    </w:p>
    <w:p>
      <w:pPr>
        <w:pStyle w:val="FirstParagraph"/>
      </w:pPr>
      <w:r>
        <w:t xml:space="preserve">Запись можно ввести не только вручную, но и заимствовать из ресурсов других библиотек. Это снижает трудоёмкость ввода, но не отменяет последующую проверку записи по локальным правилам: нужно проверить рабочий лист, коды, обязательные поля, систематизацию и сведения об экземплярах.</w:t>
      </w:r>
    </w:p>
    <w:p>
      <w:pPr>
        <w:pStyle w:val="BodyText"/>
      </w:pPr>
      <w:r>
        <w:t xml:space="preserve">Простейший способ заимствования -</w:t>
      </w:r>
      <w:r>
        <w:t xml:space="preserve"> </w:t>
      </w:r>
      <w:hyperlink r:id="rId157">
        <w:r>
          <w:rPr>
            <w:rStyle w:val="Hyperlink"/>
          </w:rPr>
          <w:t xml:space="preserve">импорт записей</w:t>
        </w:r>
      </w:hyperlink>
      <w:r>
        <w:t xml:space="preserve"> </w:t>
      </w:r>
      <w:r>
        <w:t xml:space="preserve">из полученных файлов. Файлы в коммуникативных форматах</w:t>
      </w:r>
      <w:r>
        <w:t xml:space="preserve"> </w:t>
      </w:r>
      <w:r>
        <w:rPr>
          <w:rStyle w:val="VerbatimChar"/>
        </w:rPr>
        <w:t xml:space="preserve">RUSMARC</w:t>
      </w:r>
      <w:r>
        <w:t xml:space="preserve">,</w:t>
      </w:r>
      <w:r>
        <w:t xml:space="preserve"> </w:t>
      </w:r>
      <w:r>
        <w:rPr>
          <w:rStyle w:val="VerbatimChar"/>
        </w:rPr>
        <w:t xml:space="preserve">UNIMARC</w:t>
      </w:r>
      <w:r>
        <w:t xml:space="preserve"> </w:t>
      </w:r>
      <w:r>
        <w:t xml:space="preserve">или</w:t>
      </w:r>
      <w:r>
        <w:t xml:space="preserve"> </w:t>
      </w:r>
      <w:r>
        <w:rPr>
          <w:rStyle w:val="VerbatimChar"/>
        </w:rPr>
        <w:t xml:space="preserve">USMARC</w:t>
      </w:r>
      <w:r>
        <w:t xml:space="preserve"> </w:t>
      </w:r>
      <w:r>
        <w:t xml:space="preserve">требуют переформатирования по соответствующей таблице. Файлы в формате ИРБИС можно загружать без переформатирования.</w:t>
      </w:r>
    </w:p>
    <w:p>
      <w:pPr>
        <w:pStyle w:val="BodyText"/>
      </w:pPr>
      <w:r>
        <w:t xml:space="preserve">Другой способ - непосредственное заимствование готовых описаний из внешних и корпоративных ресурсов через Интернет. Для этого применяются несколько режимов:</w:t>
      </w:r>
    </w:p>
    <w:p>
      <w:pPr>
        <w:pStyle w:val="Compact"/>
        <w:numPr>
          <w:ilvl w:val="0"/>
          <w:numId w:val="1033"/>
        </w:numPr>
      </w:pPr>
      <w:r>
        <w:t xml:space="preserve">импорт из ЛИБНЕТ - поиск, просмотр и импорт готовых библиографических описаний из корпоративного каталога ЛИБНЕТ; для работы нужны договорные отношения с организацией;</w:t>
      </w:r>
    </w:p>
    <w:p>
      <w:pPr>
        <w:pStyle w:val="Compact"/>
        <w:numPr>
          <w:ilvl w:val="0"/>
          <w:numId w:val="1033"/>
        </w:numPr>
      </w:pPr>
      <w:r>
        <w:t xml:space="preserve">импорт из Z-ресурсов - поиск и импорт записей из ресурсов, доступных по протоколу</w:t>
      </w:r>
      <w:r>
        <w:t xml:space="preserve"> </w:t>
      </w:r>
      <w:r>
        <w:rPr>
          <w:rStyle w:val="VerbatimChar"/>
        </w:rPr>
        <w:t xml:space="preserve">Z39.50</w:t>
      </w:r>
      <w:r>
        <w:t xml:space="preserve">, включая крупные российские и зарубежные библиотеки;</w:t>
      </w:r>
    </w:p>
    <w:p>
      <w:pPr>
        <w:pStyle w:val="Compact"/>
        <w:numPr>
          <w:ilvl w:val="0"/>
          <w:numId w:val="1033"/>
        </w:numPr>
      </w:pPr>
      <w:r>
        <w:t xml:space="preserve">импорт из Web-ИРБИС - поиск и заимствование описаний из баз данных ИРБИС других библиотек, доступных через Web-ИРБИС.</w:t>
      </w:r>
    </w:p>
    <w:p>
      <w:pPr>
        <w:pStyle w:val="FirstParagraph"/>
      </w:pPr>
      <w:r>
        <w:t xml:space="preserve">Заимствование из баз ИРБИС выполняется без переформатирования. Это важно, потому что сохраняются дополнительные коды и сведения, которые могут отсутствовать в других обменных форматах.</w:t>
      </w:r>
    </w:p>
    <w:p>
      <w:pPr>
        <w:pStyle w:val="BodyText"/>
      </w:pPr>
      <w:r>
        <w:t xml:space="preserve">В текущей версии Help пошаговый интерфейсный сценарий заимствования дополнительно описан в разделе</w:t>
      </w:r>
      <w:r>
        <w:t xml:space="preserve"> </w:t>
      </w:r>
      <w:hyperlink r:id="rId13">
        <w:r>
          <w:rPr>
            <w:rStyle w:val="Hyperlink"/>
          </w:rPr>
          <w:t xml:space="preserve">Inline-каталогизация</w:t>
        </w:r>
      </w:hyperlink>
      <w:r>
        <w:t xml:space="preserve">.</w:t>
      </w:r>
    </w:p>
    <w:bookmarkEnd w:id="158"/>
    <w:bookmarkStart w:id="159" w:name="пополнение-каталога-через-книговыдачу"/>
    <w:p>
      <w:pPr>
        <w:pStyle w:val="Heading4"/>
      </w:pPr>
      <w:r>
        <w:t xml:space="preserve">8. Пополнение каталога через книговыдачу</w:t>
      </w:r>
    </w:p>
    <w:p>
      <w:pPr>
        <w:pStyle w:val="FirstParagraph"/>
      </w:pPr>
      <w:r>
        <w:t xml:space="preserve">Электронный каталог может пополняться по мере спрашиваемости книг через режим</w:t>
      </w:r>
      <w:r>
        <w:t xml:space="preserve"> </w:t>
      </w:r>
      <w:r>
        <w:rPr>
          <w:rStyle w:val="VerbatimChar"/>
        </w:rPr>
        <w:t xml:space="preserve">Выдача без ЭК</w:t>
      </w:r>
      <w:r>
        <w:t xml:space="preserve"> </w:t>
      </w:r>
      <w:r>
        <w:t xml:space="preserve">в АРМ</w:t>
      </w:r>
      <w:r>
        <w:t xml:space="preserve"> </w:t>
      </w:r>
      <w:r>
        <w:rPr>
          <w:rStyle w:val="VerbatimChar"/>
        </w:rPr>
        <w:t xml:space="preserve">Книговыдача</w:t>
      </w:r>
      <w:r>
        <w:t xml:space="preserve">. Сотрудник книговыдачи фиксирует выдачу книги, отсутствующей в электронном каталоге, вводит краткие сведения о ней в запись читателя, а система автоматически создаёт новую запись библиографического описания в базе ЭК.</w:t>
      </w:r>
    </w:p>
    <w:p>
      <w:pPr>
        <w:pStyle w:val="BodyText"/>
      </w:pPr>
      <w:r>
        <w:t xml:space="preserve">При таком вводе используется опросный лист, выполняется формально-логический контроль и сверка на дублетность по элементам данных библиографического описания. Если имя базы электронного каталога не задано, по умолчанию используется</w:t>
      </w:r>
      <w:r>
        <w:t xml:space="preserve"> </w:t>
      </w:r>
      <w:r>
        <w:rPr>
          <w:rStyle w:val="VerbatimChar"/>
        </w:rPr>
        <w:t xml:space="preserve">IBIS</w:t>
      </w:r>
      <w:r>
        <w:t xml:space="preserve">. Если в системе заведены другие базы ЭК, их нужно добавить в справочник</w:t>
      </w:r>
      <w:r>
        <w:t xml:space="preserve"> </w:t>
      </w:r>
      <w:r>
        <w:rPr>
          <w:rStyle w:val="VerbatimChar"/>
        </w:rPr>
        <w:t xml:space="preserve">DBNAM3.MNU</w:t>
      </w:r>
      <w:r>
        <w:t xml:space="preserve"> </w:t>
      </w:r>
      <w:r>
        <w:t xml:space="preserve">в базе</w:t>
      </w:r>
      <w:r>
        <w:t xml:space="preserve"> </w:t>
      </w:r>
      <w:r>
        <w:rPr>
          <w:rStyle w:val="VerbatimChar"/>
        </w:rPr>
        <w:t xml:space="preserve">RDR</w:t>
      </w:r>
      <w:r>
        <w:t xml:space="preserve"> </w:t>
      </w:r>
      <w:r>
        <w:t xml:space="preserve">или скопировать это меню из директории</w:t>
      </w:r>
      <w:r>
        <w:t xml:space="preserve"> </w:t>
      </w:r>
      <w:r>
        <w:rPr>
          <w:rStyle w:val="VerbatimChar"/>
        </w:rPr>
        <w:t xml:space="preserve">DATAI</w:t>
      </w:r>
      <w:r>
        <w:t xml:space="preserve">.</w:t>
      </w:r>
    </w:p>
    <w:p>
      <w:pPr>
        <w:pStyle w:val="BodyText"/>
      </w:pPr>
      <w:r>
        <w:t xml:space="preserve">Если не указан код вида документа, по умолчанию считается, что вводится моноиздание. Перед кодом автоматически добавляются символы</w:t>
      </w:r>
      <w:r>
        <w:t xml:space="preserve"> </w:t>
      </w:r>
      <w:r>
        <w:rPr>
          <w:rStyle w:val="VerbatimChar"/>
        </w:rPr>
        <w:t xml:space="preserve">!!</w:t>
      </w:r>
      <w:r>
        <w:t xml:space="preserve">: это признак записи, созданной через книговыдачу и требующей последующей обработки каталогизатором. Сигналом для каталогизатора служит термин</w:t>
      </w:r>
      <w:r>
        <w:t xml:space="preserve"> </w:t>
      </w:r>
      <w:r>
        <w:rPr>
          <w:rStyle w:val="VerbatimChar"/>
        </w:rPr>
        <w:t xml:space="preserve">!!</w:t>
      </w:r>
      <w:r>
        <w:t xml:space="preserve"> </w:t>
      </w:r>
      <w:r>
        <w:t xml:space="preserve">в словаре</w:t>
      </w:r>
      <w:r>
        <w:t xml:space="preserve"> </w:t>
      </w:r>
      <w:r>
        <w:rPr>
          <w:rStyle w:val="VerbatimChar"/>
        </w:rPr>
        <w:t xml:space="preserve">Вид издания</w:t>
      </w:r>
      <w:r>
        <w:t xml:space="preserve">; после доработки записи термин удаляется корректировкой кода вида документа.</w:t>
      </w:r>
    </w:p>
    <w:p>
      <w:pPr>
        <w:pStyle w:val="BodyText"/>
      </w:pPr>
      <w:r>
        <w:t xml:space="preserve">В контроле на наличие вводимого описания в базе ЭК участвуют обязательные данные:</w:t>
      </w:r>
    </w:p>
    <w:p>
      <w:pPr>
        <w:pStyle w:val="Compact"/>
        <w:numPr>
          <w:ilvl w:val="0"/>
          <w:numId w:val="1034"/>
        </w:numPr>
      </w:pPr>
      <w:r>
        <w:t xml:space="preserve">первый автор, если он есть;</w:t>
      </w:r>
    </w:p>
    <w:p>
      <w:pPr>
        <w:pStyle w:val="Compact"/>
        <w:numPr>
          <w:ilvl w:val="0"/>
          <w:numId w:val="1034"/>
        </w:numPr>
      </w:pPr>
      <w:r>
        <w:t xml:space="preserve">заглавие;</w:t>
      </w:r>
    </w:p>
    <w:p>
      <w:pPr>
        <w:pStyle w:val="Compact"/>
        <w:numPr>
          <w:ilvl w:val="0"/>
          <w:numId w:val="1034"/>
        </w:numPr>
      </w:pPr>
      <w:r>
        <w:t xml:space="preserve">признак нехарактерного заглавия для многотомного издания, если он применим;</w:t>
      </w:r>
    </w:p>
    <w:p>
      <w:pPr>
        <w:pStyle w:val="Compact"/>
        <w:numPr>
          <w:ilvl w:val="0"/>
          <w:numId w:val="1034"/>
        </w:numPr>
      </w:pPr>
      <w:r>
        <w:t xml:space="preserve">номер тома для многотомного издания;</w:t>
      </w:r>
    </w:p>
    <w:p>
      <w:pPr>
        <w:pStyle w:val="Compact"/>
        <w:numPr>
          <w:ilvl w:val="0"/>
          <w:numId w:val="1034"/>
        </w:numPr>
      </w:pPr>
      <w:r>
        <w:t xml:space="preserve">год издания;</w:t>
      </w:r>
    </w:p>
    <w:p>
      <w:pPr>
        <w:pStyle w:val="Compact"/>
        <w:numPr>
          <w:ilvl w:val="0"/>
          <w:numId w:val="1034"/>
        </w:numPr>
      </w:pPr>
      <w:r>
        <w:t xml:space="preserve">число страниц;</w:t>
      </w:r>
    </w:p>
    <w:p>
      <w:pPr>
        <w:pStyle w:val="Compact"/>
        <w:numPr>
          <w:ilvl w:val="0"/>
          <w:numId w:val="1034"/>
        </w:numPr>
      </w:pPr>
      <w:r>
        <w:t xml:space="preserve">полочный шифр и инвентарный номер выдаваемого экземпляра.</w:t>
      </w:r>
    </w:p>
    <w:p>
      <w:pPr>
        <w:pStyle w:val="FirstParagraph"/>
      </w:pPr>
      <w:r>
        <w:t xml:space="preserve">Полочный шифр и инвентарный номер также проверяются на присутствие и дублетность. Если выдаётся экземпляр группового учёта, вводится номер книги учёта и общее число экземпляров на этой книге; в базе ЭК в этом случае формируется поле экземпляра со статусом</w:t>
      </w:r>
      <w:r>
        <w:t xml:space="preserve"> </w:t>
      </w:r>
      <w:r>
        <w:rPr>
          <w:rStyle w:val="VerbatimChar"/>
        </w:rPr>
        <w:t xml:space="preserve">U</w:t>
      </w:r>
      <w:r>
        <w:t xml:space="preserve">.</w:t>
      </w:r>
    </w:p>
    <w:p>
      <w:pPr>
        <w:pStyle w:val="BodyText"/>
      </w:pPr>
      <w:r>
        <w:t xml:space="preserve">Если дата выдачи и дата поступления экземпляра не введены, система подставляет текущую дату. Если не введена предполагаемая дата возврата, система рассчитывает её как текущую дату плюс 20 дней в формате</w:t>
      </w:r>
      <w:r>
        <w:t xml:space="preserve"> </w:t>
      </w:r>
      <w:r>
        <w:rPr>
          <w:rStyle w:val="VerbatimChar"/>
        </w:rPr>
        <w:t xml:space="preserve">ГГГГММДД</w:t>
      </w:r>
      <w:r>
        <w:t xml:space="preserve">.</w:t>
      </w:r>
    </w:p>
    <w:bookmarkEnd w:id="159"/>
    <w:bookmarkStart w:id="160" w:name="обработка-периодических-изданий"/>
    <w:p>
      <w:pPr>
        <w:pStyle w:val="Heading4"/>
      </w:pPr>
      <w:r>
        <w:t xml:space="preserve">9. Обработка периодических изданий</w:t>
      </w:r>
    </w:p>
    <w:p>
      <w:pPr>
        <w:pStyle w:val="FirstParagraph"/>
      </w:pPr>
      <w:r>
        <w:t xml:space="preserve">Технология применяется для журналов, газет и других сериальных изданий, выпуски которых выходят нумерованными и не имеют частных заглавий. Для таких изданий создаётся сводное описание, а поступающие номера регистрируются как связанные документы-номера.</w:t>
      </w:r>
    </w:p>
    <w:p>
      <w:pPr>
        <w:pStyle w:val="BodyText"/>
      </w:pPr>
      <w:r>
        <w:t xml:space="preserve">Перед вводом нового периодического издания нужно убедиться, что оно отсутствует в электронном каталоге. Система сверяет периодику на дублетность по шифру издания при вводе шифра и по совокупности кратких данных при сохранении записи:</w:t>
      </w:r>
    </w:p>
    <w:p>
      <w:pPr>
        <w:pStyle w:val="Compact"/>
        <w:numPr>
          <w:ilvl w:val="0"/>
          <w:numId w:val="1035"/>
        </w:numPr>
      </w:pPr>
      <w:r>
        <w:t xml:space="preserve">код вида периодического издания;</w:t>
      </w:r>
    </w:p>
    <w:p>
      <w:pPr>
        <w:pStyle w:val="Compact"/>
        <w:numPr>
          <w:ilvl w:val="0"/>
          <w:numId w:val="1035"/>
        </w:numPr>
      </w:pPr>
      <w:r>
        <w:t xml:space="preserve">две последние цифры года начала издания;</w:t>
      </w:r>
    </w:p>
    <w:p>
      <w:pPr>
        <w:pStyle w:val="Compact"/>
        <w:numPr>
          <w:ilvl w:val="0"/>
          <w:numId w:val="1035"/>
        </w:numPr>
      </w:pPr>
      <w:r>
        <w:t xml:space="preserve">автоматическая свёртка текста, включающая коллектив-заголовок, заглавие, серию, подсерии и разделы подсерий.</w:t>
      </w:r>
    </w:p>
    <w:p>
      <w:pPr>
        <w:pStyle w:val="FirstParagraph"/>
      </w:pPr>
      <w:r>
        <w:t xml:space="preserve">В интегрированной технологии первичное описание периодики обычно появляется на этапе заказа или подписки в АРМ</w:t>
      </w:r>
      <w:r>
        <w:t xml:space="preserve"> </w:t>
      </w:r>
      <w:r>
        <w:rPr>
          <w:rStyle w:val="VerbatimChar"/>
        </w:rPr>
        <w:t xml:space="preserve">Комплектатор</w:t>
      </w:r>
      <w:r>
        <w:t xml:space="preserve"> </w:t>
      </w:r>
      <w:r>
        <w:t xml:space="preserve">и затем переносится в каталог. Если каталогизатор внедряется раньше комплектования, описание можно вводить непосредственно в базе каталога, но тогда нужно вручную вести сведения о заказанных экземплярах и подписных периодах.</w:t>
      </w:r>
    </w:p>
    <w:bookmarkEnd w:id="160"/>
    <w:bookmarkStart w:id="161" w:name="ввод-нового-периодического-издания"/>
    <w:p>
      <w:pPr>
        <w:pStyle w:val="Heading4"/>
      </w:pPr>
      <w:r>
        <w:t xml:space="preserve">10. Ввод нового периодического издания</w:t>
      </w:r>
    </w:p>
    <w:p>
      <w:pPr>
        <w:pStyle w:val="FirstParagraph"/>
      </w:pPr>
      <w:r>
        <w:t xml:space="preserve">Новое периодическое издание описывается de visu по первому полученному выпуску. Для сводного описания используется рабочий лист</w:t>
      </w:r>
      <w:r>
        <w:t xml:space="preserve"> </w:t>
      </w:r>
      <w:r>
        <w:rPr>
          <w:rStyle w:val="VerbatimChar"/>
        </w:rPr>
        <w:t xml:space="preserve">OJ51</w:t>
      </w:r>
      <w:r>
        <w:t xml:space="preserve"> </w:t>
      </w:r>
      <w:r>
        <w:t xml:space="preserve">или</w:t>
      </w:r>
      <w:r>
        <w:t xml:space="preserve"> </w:t>
      </w:r>
      <w:r>
        <w:rPr>
          <w:rStyle w:val="VerbatimChar"/>
        </w:rPr>
        <w:t xml:space="preserve">OJ</w:t>
      </w:r>
      <w:r>
        <w:t xml:space="preserve">; сведения о первом поступлении можно ввести сразу или позднее в режиме регистрации.</w:t>
      </w:r>
    </w:p>
    <w:p>
      <w:pPr>
        <w:pStyle w:val="BodyText"/>
      </w:pPr>
      <w:r>
        <w:t xml:space="preserve">При вводе особенно важен шифр документа в базе</w:t>
      </w:r>
      <w:r>
        <w:t xml:space="preserve"> </w:t>
      </w:r>
      <w:r>
        <w:rPr>
          <w:rStyle w:val="VerbatimChar"/>
        </w:rPr>
        <w:t xml:space="preserve">903</w:t>
      </w:r>
      <w:r>
        <w:t xml:space="preserve">: он связывает сводное описание со всеми номерами издания. Если в библиотеке нет традиционной системы шифровки журналов или газет, можно присваивать шифр из первой буквы первого слова заглавия и порядкового номера для этой буквы. Если шифр не заполнен, система может сформировать его автоматически, но после создания записи шифр нельзя корректировать произвольно.</w:t>
      </w:r>
    </w:p>
    <w:p>
      <w:pPr>
        <w:pStyle w:val="BodyText"/>
      </w:pPr>
      <w:r>
        <w:t xml:space="preserve">Шифр одного и того же издания в базе каталога и базе комплектования должен совпадать. В интегрированной технологии сведения о подписке на новый период переносятся из комплектования в каталог именно по шифру.</w:t>
      </w:r>
    </w:p>
    <w:p>
      <w:pPr>
        <w:pStyle w:val="BodyText"/>
      </w:pPr>
      <w:r>
        <w:t xml:space="preserve">Если издание выходит по сериям, подсериям или разделам с самостоятельной нумерацией выпусков, в каталоге создаются отдельные записи для каждой нижней единицы издания. Общие заглавия могут совпадать, но данные серии, подсерии, раздела и шифры документов должны различаться.</w:t>
      </w:r>
    </w:p>
    <w:p>
      <w:pPr>
        <w:pStyle w:val="BodyText"/>
      </w:pPr>
      <w:r>
        <w:t xml:space="preserve">Для нетрадиционных носителей и электронных периодических изданий заполняются общие характеристики выпусков: вид и объём ресурса, количественные характеристики и примечания к электронному ресурсу. Эти данные переносятся в записи отдельных выпусков и при необходимости уточняются в конкретном номере.</w:t>
      </w:r>
    </w:p>
    <w:p>
      <w:pPr>
        <w:pStyle w:val="BodyText"/>
      </w:pPr>
      <w:r>
        <w:t xml:space="preserve">Если к номерам поступают отдельно хранящиеся приложения на других носителях, например микрофильм или CD-ROM, заранее заполняются сведения о приложениях к номеру: шифр, вид носителя, место хранения, примечание и технологический путь. Тогда при регистрации приложения достаточно выбрать вид носителя, а остальные данные будут перенесены автоматически.</w:t>
      </w:r>
    </w:p>
    <w:bookmarkEnd w:id="161"/>
    <w:bookmarkStart w:id="162" w:name="сведения-о-заказе-периодики"/>
    <w:p>
      <w:pPr>
        <w:pStyle w:val="Heading4"/>
      </w:pPr>
      <w:r>
        <w:t xml:space="preserve">11. Сведения о заказе периодики</w:t>
      </w:r>
    </w:p>
    <w:p>
      <w:pPr>
        <w:pStyle w:val="FirstParagraph"/>
      </w:pPr>
      <w:r>
        <w:t xml:space="preserve">Для заказа и подписки используются два вида данных.</w:t>
      </w:r>
    </w:p>
    <w:p>
      <w:pPr>
        <w:pStyle w:val="BodyText"/>
      </w:pPr>
      <w:r>
        <w:t xml:space="preserve">Поле</w:t>
      </w:r>
      <w:r>
        <w:t xml:space="preserve"> </w:t>
      </w:r>
      <w:r>
        <w:rPr>
          <w:rStyle w:val="VerbatimChar"/>
        </w:rPr>
        <w:t xml:space="preserve">901</w:t>
      </w:r>
      <w:r>
        <w:t xml:space="preserve"> </w:t>
      </w:r>
      <w:r>
        <w:t xml:space="preserve">хранит сведения о заказанных экземплярах: год заказа, номер и статус экземпляра или комплекта, количество, место хранения, технологический путь до поступления по месту хранения и начальный номер выпуска в году для изданий с продолжающейся нумерацией.</w:t>
      </w:r>
    </w:p>
    <w:p>
      <w:pPr>
        <w:pStyle w:val="BodyText"/>
      </w:pPr>
      <w:r>
        <w:t xml:space="preserve">Поле</w:t>
      </w:r>
      <w:r>
        <w:t xml:space="preserve"> </w:t>
      </w:r>
      <w:r>
        <w:rPr>
          <w:rStyle w:val="VerbatimChar"/>
        </w:rPr>
        <w:t xml:space="preserve">901</w:t>
      </w:r>
      <w:r>
        <w:t xml:space="preserve"> </w:t>
      </w:r>
      <w:r>
        <w:t xml:space="preserve">повторяется для каждого экземпляра и года подписки либо для нового периода того же года, если условия заказа изменились. При переносе из базы комплектования данные формируются автоматически, кроме начального номера в году для продолжающейся нумерации.</w:t>
      </w:r>
    </w:p>
    <w:p>
      <w:pPr>
        <w:pStyle w:val="BodyText"/>
      </w:pPr>
      <w:r>
        <w:t xml:space="preserve">Поле</w:t>
      </w:r>
      <w:r>
        <w:t xml:space="preserve"> </w:t>
      </w:r>
      <w:r>
        <w:rPr>
          <w:rStyle w:val="VerbatimChar"/>
        </w:rPr>
        <w:t xml:space="preserve">938</w:t>
      </w:r>
      <w:r>
        <w:t xml:space="preserve"> </w:t>
      </w:r>
      <w:r>
        <w:t xml:space="preserve">хранит поквартальные или периодные сведения о заказе: период подписки, число выпусков за период, первый и последний валовые номера, общую цену, цену одного номера, валюту и годовую периодичность. Эти данные нужны не только для регистрации, но и для последующего списания журналов.</w:t>
      </w:r>
    </w:p>
    <w:p>
      <w:pPr>
        <w:pStyle w:val="BodyText"/>
      </w:pPr>
      <w:r>
        <w:t xml:space="preserve">В начале нового подписного года или периода рекомендуется удалять из сводной записи закрытые повторения заказов, по которым получены полные комплекты. Не закрытые заказы оставляют в записи, чтобы корректно принимать отставшие номера.</w:t>
      </w:r>
    </w:p>
    <w:bookmarkEnd w:id="162"/>
    <w:bookmarkStart w:id="163" w:name="регистрация-новых-поступлений"/>
    <w:p>
      <w:pPr>
        <w:pStyle w:val="Heading4"/>
      </w:pPr>
      <w:r>
        <w:t xml:space="preserve">12. Регистрация новых поступлений</w:t>
      </w:r>
    </w:p>
    <w:p>
      <w:pPr>
        <w:pStyle w:val="FirstParagraph"/>
      </w:pPr>
      <w:r>
        <w:t xml:space="preserve">Поступившие номера регистрируются в документе-журнале. После сохранения система создаёт отдельную запись для каждого номера или выпуска и кумулирует поступления в сводном описании.</w:t>
      </w:r>
    </w:p>
    <w:p>
      <w:pPr>
        <w:pStyle w:val="BodyText"/>
      </w:pPr>
      <w:r>
        <w:t xml:space="preserve">Перед регистрацией полезно рассортировать поступления по наименованиям журналов. Для партии можно заранее установить этап работы</w:t>
      </w:r>
      <w:r>
        <w:t xml:space="preserve"> </w:t>
      </w:r>
      <w:r>
        <w:rPr>
          <w:rStyle w:val="VerbatimChar"/>
        </w:rPr>
        <w:t xml:space="preserve">РЖ</w:t>
      </w:r>
      <w:r>
        <w:t xml:space="preserve">, ФИО, номер КСУ и номер акта; эти значения будут подставляться в создаваемые записи номеров. При этапе</w:t>
      </w:r>
      <w:r>
        <w:t xml:space="preserve"> </w:t>
      </w:r>
      <w:r>
        <w:rPr>
          <w:rStyle w:val="VerbatimChar"/>
        </w:rPr>
        <w:t xml:space="preserve">РЖ</w:t>
      </w:r>
      <w:r>
        <w:t xml:space="preserve"> </w:t>
      </w:r>
      <w:r>
        <w:t xml:space="preserve">дата обработки вводится в новые записи номеров, а не в сводное описание.</w:t>
      </w:r>
    </w:p>
    <w:p>
      <w:pPr>
        <w:pStyle w:val="BodyText"/>
      </w:pPr>
      <w:r>
        <w:t xml:space="preserve">Если регистрируется номер за новый год или том, сначала вводят год и том в сводной записи и сохраняют документ. После этого сведения об экземплярах актуализируются по заказу на введённый год.</w:t>
      </w:r>
    </w:p>
    <w:p>
      <w:pPr>
        <w:pStyle w:val="BodyText"/>
      </w:pPr>
      <w:r>
        <w:t xml:space="preserve">При вводе номера система показывает уже полученные выпуски за год и сведения о заказанных экземплярах на подписной период. Дублетная сверка не позволяет повторно ввести тот же набор</w:t>
      </w:r>
      <w:r>
        <w:t xml:space="preserve"> </w:t>
      </w:r>
      <w:r>
        <w:rPr>
          <w:rStyle w:val="VerbatimChar"/>
        </w:rPr>
        <w:t xml:space="preserve">год/том/номер/номер комплекта</w:t>
      </w:r>
      <w:r>
        <w:t xml:space="preserve">.</w:t>
      </w:r>
    </w:p>
    <w:p>
      <w:pPr>
        <w:pStyle w:val="BodyText"/>
      </w:pPr>
      <w:r>
        <w:t xml:space="preserve">Если фактические данные выпуска отличаются от данных заказа, их нужно вводить явно. Это касается места хранения, первого пункта технологического пути, носителя, цены и других сведений, которые могли измениться для конкретного выпуска.</w:t>
      </w:r>
    </w:p>
    <w:p>
      <w:pPr>
        <w:pStyle w:val="BodyText"/>
      </w:pPr>
      <w:r>
        <w:t xml:space="preserve">Если у номера есть отдельно хранящееся приложение, регистрируются и основной выпуск, и приложение. В основном выпуске отмечается наличие приложения, а при регистрации приложения указывается связь с основным номером и заполняются сведения о приложении, которое хранится отдельно.</w:t>
      </w:r>
    </w:p>
    <w:p>
      <w:pPr>
        <w:pStyle w:val="BodyText"/>
      </w:pPr>
      <w:r>
        <w:t xml:space="preserve">Обязательные данные регистрации:</w:t>
      </w:r>
    </w:p>
    <w:p>
      <w:pPr>
        <w:pStyle w:val="Compact"/>
        <w:numPr>
          <w:ilvl w:val="0"/>
          <w:numId w:val="1036"/>
        </w:numPr>
      </w:pPr>
      <w:r>
        <w:t xml:space="preserve">год и том, если том есть;</w:t>
      </w:r>
    </w:p>
    <w:p>
      <w:pPr>
        <w:pStyle w:val="Compact"/>
        <w:numPr>
          <w:ilvl w:val="0"/>
          <w:numId w:val="1036"/>
        </w:numPr>
      </w:pPr>
      <w:r>
        <w:t xml:space="preserve">номер выпуска;</w:t>
      </w:r>
    </w:p>
    <w:p>
      <w:pPr>
        <w:pStyle w:val="Compact"/>
        <w:numPr>
          <w:ilvl w:val="0"/>
          <w:numId w:val="1036"/>
        </w:numPr>
      </w:pPr>
      <w:r>
        <w:t xml:space="preserve">сведения об экземплярах;</w:t>
      </w:r>
    </w:p>
    <w:p>
      <w:pPr>
        <w:pStyle w:val="Compact"/>
        <w:numPr>
          <w:ilvl w:val="0"/>
          <w:numId w:val="1036"/>
        </w:numPr>
      </w:pPr>
      <w:r>
        <w:t xml:space="preserve">статус поступивших экземпляров:</w:t>
      </w:r>
      <w:r>
        <w:t xml:space="preserve"> </w:t>
      </w:r>
      <w:r>
        <w:rPr>
          <w:rStyle w:val="VerbatimChar"/>
        </w:rPr>
        <w:t xml:space="preserve">0</w:t>
      </w:r>
      <w:r>
        <w:t xml:space="preserve"> </w:t>
      </w:r>
      <w:r>
        <w:t xml:space="preserve">для выдаваемых читателю,</w:t>
      </w:r>
      <w:r>
        <w:t xml:space="preserve"> </w:t>
      </w:r>
      <w:r>
        <w:rPr>
          <w:rStyle w:val="VerbatimChar"/>
        </w:rPr>
        <w:t xml:space="preserve">C</w:t>
      </w:r>
      <w:r>
        <w:t xml:space="preserve"> </w:t>
      </w:r>
      <w:r>
        <w:t xml:space="preserve">для филиалов ЦБС,</w:t>
      </w:r>
      <w:r>
        <w:t xml:space="preserve"> </w:t>
      </w:r>
      <w:r>
        <w:rPr>
          <w:rStyle w:val="VerbatimChar"/>
        </w:rPr>
        <w:t xml:space="preserve">U</w:t>
      </w:r>
      <w:r>
        <w:t xml:space="preserve"> </w:t>
      </w:r>
      <w:r>
        <w:t xml:space="preserve">для группового учёта;</w:t>
      </w:r>
    </w:p>
    <w:p>
      <w:pPr>
        <w:pStyle w:val="Compact"/>
        <w:numPr>
          <w:ilvl w:val="0"/>
          <w:numId w:val="1036"/>
        </w:numPr>
      </w:pPr>
      <w:r>
        <w:t xml:space="preserve">номер экземпляра или комплекта, если нет сведений о заказе;</w:t>
      </w:r>
    </w:p>
    <w:p>
      <w:pPr>
        <w:pStyle w:val="Compact"/>
        <w:numPr>
          <w:ilvl w:val="0"/>
          <w:numId w:val="1036"/>
        </w:numPr>
      </w:pPr>
      <w:r>
        <w:t xml:space="preserve">штрих-код, если он есть и регистрируется один номер, а не интервал;</w:t>
      </w:r>
    </w:p>
    <w:p>
      <w:pPr>
        <w:pStyle w:val="Compact"/>
        <w:numPr>
          <w:ilvl w:val="0"/>
          <w:numId w:val="1036"/>
        </w:numPr>
      </w:pPr>
      <w:r>
        <w:t xml:space="preserve">номер КСУ, если он не установлен в настройке партии;</w:t>
      </w:r>
    </w:p>
    <w:p>
      <w:pPr>
        <w:pStyle w:val="Compact"/>
        <w:numPr>
          <w:ilvl w:val="0"/>
          <w:numId w:val="1036"/>
        </w:numPr>
      </w:pPr>
      <w:r>
        <w:t xml:space="preserve">цена и валюта, если выпуск не покрыт сведениями о подписке или оплачивается отдельно.</w:t>
      </w:r>
    </w:p>
    <w:p>
      <w:pPr>
        <w:pStyle w:val="FirstParagraph"/>
      </w:pPr>
      <w:r>
        <w:t xml:space="preserve">Сдвоенные и строенные номера одного года вводятся через</w:t>
      </w:r>
      <w:r>
        <w:t xml:space="preserve"> </w:t>
      </w:r>
      <w:r>
        <w:rPr>
          <w:rStyle w:val="VerbatimChar"/>
        </w:rPr>
        <w:t xml:space="preserve">/</w:t>
      </w:r>
      <w:r>
        <w:t xml:space="preserve">, например</w:t>
      </w:r>
      <w:r>
        <w:t xml:space="preserve"> </w:t>
      </w:r>
      <w:r>
        <w:rPr>
          <w:rStyle w:val="VerbatimChar"/>
        </w:rPr>
        <w:t xml:space="preserve">3/5/6/7</w:t>
      </w:r>
      <w:r>
        <w:t xml:space="preserve">. Выпуски, объединяющие номера за разные годы, регистрируются по году первого выпуска, а данные последующих лет вводятся как объединённые номера за другой год.</w:t>
      </w:r>
    </w:p>
    <w:p>
      <w:pPr>
        <w:pStyle w:val="BodyText"/>
      </w:pPr>
      <w:r>
        <w:t xml:space="preserve">Если данные всех регистрируемых номеров идентичны, можно вводить интервал непрерывных номеров, перечень номеров через запятую или комбинацию этих вариантов. При регистрации интервала штрих-код вводить нельзя, иначе он будет перенесён во все создаваемые записи и вызовет дублетность.</w:t>
      </w:r>
    </w:p>
    <w:p>
      <w:pPr>
        <w:pStyle w:val="BodyText"/>
      </w:pPr>
      <w:r>
        <w:t xml:space="preserve">Необязательные, но важные данные регистрации:</w:t>
      </w:r>
    </w:p>
    <w:p>
      <w:pPr>
        <w:pStyle w:val="Compact"/>
        <w:numPr>
          <w:ilvl w:val="0"/>
          <w:numId w:val="1037"/>
        </w:numPr>
      </w:pPr>
      <w:r>
        <w:t xml:space="preserve">технологический путь номера;</w:t>
      </w:r>
    </w:p>
    <w:p>
      <w:pPr>
        <w:pStyle w:val="Compact"/>
        <w:numPr>
          <w:ilvl w:val="0"/>
          <w:numId w:val="1037"/>
        </w:numPr>
      </w:pPr>
      <w:r>
        <w:t xml:space="preserve">наличие библиографии и указателя;</w:t>
      </w:r>
    </w:p>
    <w:p>
      <w:pPr>
        <w:pStyle w:val="Compact"/>
        <w:numPr>
          <w:ilvl w:val="0"/>
          <w:numId w:val="1037"/>
        </w:numPr>
      </w:pPr>
      <w:r>
        <w:t xml:space="preserve">приложение к номеру на другом носителе;</w:t>
      </w:r>
    </w:p>
    <w:p>
      <w:pPr>
        <w:pStyle w:val="Compact"/>
        <w:numPr>
          <w:ilvl w:val="0"/>
          <w:numId w:val="1037"/>
        </w:numPr>
      </w:pPr>
      <w:r>
        <w:t xml:space="preserve">валовый номер при сложной или нечисловой нумерации;</w:t>
      </w:r>
    </w:p>
    <w:p>
      <w:pPr>
        <w:pStyle w:val="Compact"/>
        <w:numPr>
          <w:ilvl w:val="0"/>
          <w:numId w:val="1037"/>
        </w:numPr>
      </w:pPr>
      <w:r>
        <w:t xml:space="preserve">начальный номер в году для продолжающейся нумерации;</w:t>
      </w:r>
    </w:p>
    <w:p>
      <w:pPr>
        <w:pStyle w:val="Compact"/>
        <w:numPr>
          <w:ilvl w:val="0"/>
          <w:numId w:val="1037"/>
        </w:numPr>
      </w:pPr>
      <w:r>
        <w:t xml:space="preserve">дополнение к номеру, например дата выхода газеты;</w:t>
      </w:r>
    </w:p>
    <w:p>
      <w:pPr>
        <w:pStyle w:val="Compact"/>
        <w:numPr>
          <w:ilvl w:val="0"/>
          <w:numId w:val="1037"/>
        </w:numPr>
      </w:pPr>
      <w:r>
        <w:t xml:space="preserve">примечание к номеру;</w:t>
      </w:r>
    </w:p>
    <w:p>
      <w:pPr>
        <w:pStyle w:val="Compact"/>
        <w:numPr>
          <w:ilvl w:val="0"/>
          <w:numId w:val="1037"/>
        </w:numPr>
      </w:pPr>
      <w:r>
        <w:t xml:space="preserve">отличающиеся характеристики электронного ресурса;</w:t>
      </w:r>
    </w:p>
    <w:p>
      <w:pPr>
        <w:pStyle w:val="Compact"/>
        <w:numPr>
          <w:ilvl w:val="0"/>
          <w:numId w:val="1037"/>
        </w:numPr>
      </w:pPr>
      <w:r>
        <w:t xml:space="preserve">оглавление и сведения о статьях номера.</w:t>
      </w:r>
    </w:p>
    <w:p>
      <w:pPr>
        <w:pStyle w:val="FirstParagraph"/>
      </w:pPr>
      <w:r>
        <w:t xml:space="preserve">При сохранении зарегистрированного номера система создаёт запись номера с уникальным шифром вида</w:t>
      </w:r>
      <w:r>
        <w:t xml:space="preserve"> </w:t>
      </w:r>
      <w:r>
        <w:rPr>
          <w:rStyle w:val="VerbatimChar"/>
        </w:rPr>
        <w:t xml:space="preserve">общий шифр/год/том/номер</w:t>
      </w:r>
      <w:r>
        <w:t xml:space="preserve">, переносит сведения об экземплярах, технологический путь, дополнительные данные, сведения о приложениях и оглавление. В сводном описании одновременно обновляются кумулированные поступления по году и тому. После регистрации нужно проверить кумуляцию; при ошибке корректируется соответствующее повторение поля кумулированных поступлений.</w:t>
      </w:r>
    </w:p>
    <w:bookmarkEnd w:id="163"/>
    <w:bookmarkStart w:id="165" w:name="корректура-номера-журнала"/>
    <w:p>
      <w:pPr>
        <w:pStyle w:val="Heading4"/>
      </w:pPr>
      <w:r>
        <w:t xml:space="preserve">13. Корректура номера журнала</w:t>
      </w:r>
    </w:p>
    <w:p>
      <w:pPr>
        <w:pStyle w:val="FirstParagraph"/>
      </w:pPr>
      <w:r>
        <w:t xml:space="preserve">Документ-номер журнала создаётся автоматически при регистрации поступления и корректируется на рабочем листе</w:t>
      </w:r>
      <w:r>
        <w:t xml:space="preserve"> </w:t>
      </w:r>
      <w:r>
        <w:rPr>
          <w:rStyle w:val="VerbatimChar"/>
        </w:rPr>
        <w:t xml:space="preserve">NJ</w:t>
      </w:r>
      <w:r>
        <w:t xml:space="preserve">.</w:t>
      </w:r>
    </w:p>
    <w:p>
      <w:pPr>
        <w:pStyle w:val="BodyText"/>
      </w:pPr>
      <w:r>
        <w:t xml:space="preserve">Корректура номера нужна, когда требуется:</w:t>
      </w:r>
    </w:p>
    <w:p>
      <w:pPr>
        <w:pStyle w:val="Compact"/>
        <w:numPr>
          <w:ilvl w:val="0"/>
          <w:numId w:val="1038"/>
        </w:numPr>
      </w:pPr>
      <w:r>
        <w:t xml:space="preserve">ввести или дополнить оглавление и сведения о статьях;</w:t>
      </w:r>
    </w:p>
    <w:p>
      <w:pPr>
        <w:pStyle w:val="Compact"/>
        <w:numPr>
          <w:ilvl w:val="0"/>
          <w:numId w:val="1038"/>
        </w:numPr>
      </w:pPr>
      <w:r>
        <w:t xml:space="preserve">ввести приложения на вкладках;</w:t>
      </w:r>
    </w:p>
    <w:p>
      <w:pPr>
        <w:pStyle w:val="Compact"/>
        <w:numPr>
          <w:ilvl w:val="0"/>
          <w:numId w:val="1038"/>
        </w:numPr>
      </w:pPr>
      <w:r>
        <w:t xml:space="preserve">добавить частные шифры для четвёртого и последующих объединённых номеров;</w:t>
      </w:r>
    </w:p>
    <w:p>
      <w:pPr>
        <w:pStyle w:val="Compact"/>
        <w:numPr>
          <w:ilvl w:val="0"/>
          <w:numId w:val="1038"/>
        </w:numPr>
      </w:pPr>
      <w:r>
        <w:t xml:space="preserve">заполнить кумулированные номера за другой год;</w:t>
      </w:r>
    </w:p>
    <w:p>
      <w:pPr>
        <w:pStyle w:val="Compact"/>
        <w:numPr>
          <w:ilvl w:val="0"/>
          <w:numId w:val="1038"/>
        </w:numPr>
      </w:pPr>
      <w:r>
        <w:t xml:space="preserve">уточнить характеристики электронного ресурса, если конкретный выпуск отличается от общих данных;</w:t>
      </w:r>
    </w:p>
    <w:p>
      <w:pPr>
        <w:pStyle w:val="Compact"/>
        <w:numPr>
          <w:ilvl w:val="0"/>
          <w:numId w:val="1038"/>
        </w:numPr>
      </w:pPr>
      <w:r>
        <w:t xml:space="preserve">ввести сведения о графической информации и полных текстах;</w:t>
      </w:r>
    </w:p>
    <w:p>
      <w:pPr>
        <w:pStyle w:val="Compact"/>
        <w:numPr>
          <w:ilvl w:val="0"/>
          <w:numId w:val="1038"/>
        </w:numPr>
      </w:pPr>
      <w:r>
        <w:t xml:space="preserve">изменить даты и направления передачи по технологическому пути;</w:t>
      </w:r>
    </w:p>
    <w:p>
      <w:pPr>
        <w:pStyle w:val="Compact"/>
        <w:numPr>
          <w:ilvl w:val="0"/>
          <w:numId w:val="1038"/>
        </w:numPr>
      </w:pPr>
      <w:r>
        <w:t xml:space="preserve">исправить регистрационные данные, экземпляры или сведения о статьях;</w:t>
      </w:r>
    </w:p>
    <w:p>
      <w:pPr>
        <w:pStyle w:val="Compact"/>
        <w:numPr>
          <w:ilvl w:val="0"/>
          <w:numId w:val="1038"/>
        </w:numPr>
      </w:pPr>
      <w:r>
        <w:t xml:space="preserve">добавить к подшивке выпуски другого года.</w:t>
      </w:r>
    </w:p>
    <w:p>
      <w:pPr>
        <w:pStyle w:val="FirstParagraph"/>
      </w:pPr>
      <w:r>
        <w:t xml:space="preserve">Сведения о статьях, введённые в документ-номер журнала, затем могут использоваться при создании самостоятельных аналитических описаний.</w:t>
      </w:r>
    </w:p>
    <w:p>
      <w:pPr>
        <w:pStyle w:val="BodyText"/>
      </w:pPr>
      <w:r>
        <w:t xml:space="preserve">Найти номер для корректуры можно по шифру издания, если библиотека ведёт шифровку журналов, либо через сводное описание журнала и переход к связанным номерам. Переходы между сводным описанием, номерами и статьями описаны в разделе</w:t>
      </w:r>
      <w:r>
        <w:t xml:space="preserve"> </w:t>
      </w:r>
      <w:hyperlink r:id="rId164">
        <w:r>
          <w:rPr>
            <w:rStyle w:val="Hyperlink"/>
          </w:rPr>
          <w:t xml:space="preserve">Переходы по связанным записям периодики</w:t>
        </w:r>
      </w:hyperlink>
      <w:r>
        <w:t xml:space="preserve">.</w:t>
      </w:r>
    </w:p>
    <w:bookmarkEnd w:id="165"/>
    <w:bookmarkStart w:id="166" w:name="регистрация-подшивок"/>
    <w:p>
      <w:pPr>
        <w:pStyle w:val="Heading4"/>
      </w:pPr>
      <w:r>
        <w:t xml:space="preserve">14. Регистрация подшивок</w:t>
      </w:r>
    </w:p>
    <w:p>
      <w:pPr>
        <w:pStyle w:val="FirstParagraph"/>
      </w:pPr>
      <w:r>
        <w:t xml:space="preserve">Подшивка регистрируется после регистрации отдельных номеров. Записи номеров при этом остаются в базе, потому что в них могут быть оглавления и связи со статьями.</w:t>
      </w:r>
    </w:p>
    <w:p>
      <w:pPr>
        <w:pStyle w:val="BodyText"/>
      </w:pPr>
      <w:r>
        <w:t xml:space="preserve">Подшивка вводится как новый номер за переплетённый год со своим обозначением, например</w:t>
      </w:r>
      <w:r>
        <w:t xml:space="preserve"> </w:t>
      </w:r>
      <w:r>
        <w:rPr>
          <w:rStyle w:val="VerbatimChar"/>
        </w:rPr>
        <w:t xml:space="preserve">Подшивка N 1</w:t>
      </w:r>
      <w:r>
        <w:t xml:space="preserve">. В дополнении к номеру обязательно указывается интервал номеров, вошедших в подшивку; при необходимости добавляется текстовое примечание о составе подшивки. Сведения об экземплярах подшивки корректируются сразу, включая инвентарные номера; технологический путь удаляется.</w:t>
      </w:r>
    </w:p>
    <w:p>
      <w:pPr>
        <w:pStyle w:val="BodyText"/>
      </w:pPr>
      <w:r>
        <w:t xml:space="preserve">После регистрации выполняется глобальная корректировка подшивки. В результате запись подшивки получает код рабочего листа</w:t>
      </w:r>
      <w:r>
        <w:t xml:space="preserve"> </w:t>
      </w:r>
      <w:r>
        <w:rPr>
          <w:rStyle w:val="VerbatimChar"/>
        </w:rPr>
        <w:t xml:space="preserve">NJK</w:t>
      </w:r>
      <w:r>
        <w:t xml:space="preserve">, а записи номеров, вошедших в неё, получают код</w:t>
      </w:r>
      <w:r>
        <w:t xml:space="preserve"> </w:t>
      </w:r>
      <w:r>
        <w:rPr>
          <w:rStyle w:val="VerbatimChar"/>
        </w:rPr>
        <w:t xml:space="preserve">NJP</w:t>
      </w:r>
      <w:r>
        <w:t xml:space="preserve">. В экземплярах номеров появляется связь с шифром подшивки, а статус меняется на</w:t>
      </w:r>
      <w:r>
        <w:t xml:space="preserve"> </w:t>
      </w:r>
      <w:r>
        <w:rPr>
          <w:rStyle w:val="VerbatimChar"/>
        </w:rPr>
        <w:t xml:space="preserve">p</w:t>
      </w:r>
      <w:r>
        <w:t xml:space="preserve">. Для статей формируется шифр документа-источника, указывающий на подшивку.</w:t>
      </w:r>
    </w:p>
    <w:p>
      <w:pPr>
        <w:pStyle w:val="BodyText"/>
      </w:pPr>
      <w:r>
        <w:t xml:space="preserve">После такой обработки:</w:t>
      </w:r>
    </w:p>
    <w:p>
      <w:pPr>
        <w:pStyle w:val="Compact"/>
        <w:numPr>
          <w:ilvl w:val="0"/>
          <w:numId w:val="1039"/>
        </w:numPr>
      </w:pPr>
      <w:r>
        <w:t xml:space="preserve">отдельные номера остаются доступными для обычного поиска;</w:t>
      </w:r>
    </w:p>
    <w:p>
      <w:pPr>
        <w:pStyle w:val="Compact"/>
        <w:numPr>
          <w:ilvl w:val="0"/>
          <w:numId w:val="1039"/>
        </w:numPr>
      </w:pPr>
      <w:r>
        <w:t xml:space="preserve">при просмотре видно, в какой подшивке находится экземпляр и доступен ли он;</w:t>
      </w:r>
    </w:p>
    <w:p>
      <w:pPr>
        <w:pStyle w:val="Compact"/>
        <w:numPr>
          <w:ilvl w:val="0"/>
          <w:numId w:val="1039"/>
        </w:numPr>
      </w:pPr>
      <w:r>
        <w:t xml:space="preserve">подшивки участвуют в поиске по связи</w:t>
      </w:r>
      <w:r>
        <w:t xml:space="preserve"> </w:t>
      </w:r>
      <w:r>
        <w:rPr>
          <w:rStyle w:val="VerbatimChar"/>
        </w:rPr>
        <w:t xml:space="preserve">Журнал - номера</w:t>
      </w:r>
      <w:r>
        <w:t xml:space="preserve">;</w:t>
      </w:r>
    </w:p>
    <w:p>
      <w:pPr>
        <w:pStyle w:val="Compact"/>
        <w:numPr>
          <w:ilvl w:val="0"/>
          <w:numId w:val="1039"/>
        </w:numPr>
      </w:pPr>
      <w:r>
        <w:t xml:space="preserve">при заказе номера подаётся нужная подшивка или отдельный непереплетённый номер;</w:t>
      </w:r>
    </w:p>
    <w:p>
      <w:pPr>
        <w:pStyle w:val="Compact"/>
        <w:numPr>
          <w:ilvl w:val="0"/>
          <w:numId w:val="1039"/>
        </w:numPr>
      </w:pPr>
      <w:r>
        <w:t xml:space="preserve">списание подшивок выполняется обычным групповым списанием, а в записи номера фиксируется списание экземпляра со статусом</w:t>
      </w:r>
      <w:r>
        <w:t xml:space="preserve"> </w:t>
      </w:r>
      <w:r>
        <w:rPr>
          <w:rStyle w:val="VerbatimChar"/>
        </w:rPr>
        <w:t xml:space="preserve">P</w:t>
      </w:r>
      <w:r>
        <w:t xml:space="preserve">.</w:t>
      </w:r>
    </w:p>
    <w:bookmarkEnd w:id="166"/>
    <w:bookmarkStart w:id="167" w:name="выпуски-с-частным-заглавием"/>
    <w:p>
      <w:pPr>
        <w:pStyle w:val="Heading4"/>
      </w:pPr>
      <w:r>
        <w:t xml:space="preserve">15. Выпуски с частным заглавием</w:t>
      </w:r>
    </w:p>
    <w:p>
      <w:pPr>
        <w:pStyle w:val="FirstParagraph"/>
      </w:pPr>
      <w:r>
        <w:t xml:space="preserve">Если номер продолжающегося или периодического издания имеет собственное заглавие либо посвящён отдельному событию, после обычной регистрации его нужно описать как книгу. Для этого запись номера преобразуется глобальной корректировкой</w:t>
      </w:r>
      <w:r>
        <w:t xml:space="preserve"> </w:t>
      </w:r>
      <w:r>
        <w:rPr>
          <w:rStyle w:val="VerbatimChar"/>
        </w:rPr>
        <w:t xml:space="preserve">NJ_Spec</w:t>
      </w:r>
      <w:r>
        <w:t xml:space="preserve">, а затем в неё вводятся данные конкретного выпуска.</w:t>
      </w:r>
    </w:p>
    <w:p>
      <w:pPr>
        <w:pStyle w:val="BodyText"/>
      </w:pPr>
      <w:r>
        <w:t xml:space="preserve">После преобразования запись получает рабочий лист</w:t>
      </w:r>
      <w:r>
        <w:t xml:space="preserve"> </w:t>
      </w:r>
      <w:r>
        <w:rPr>
          <w:rStyle w:val="VerbatimChar"/>
        </w:rPr>
        <w:t xml:space="preserve">SPEC</w:t>
      </w:r>
      <w:r>
        <w:t xml:space="preserve">, но сохраняет связь с журналом. Она откликается и как книга, и как выпуск журнала.</w:t>
      </w:r>
    </w:p>
    <w:p>
      <w:pPr>
        <w:pStyle w:val="BodyText"/>
      </w:pPr>
      <w:r>
        <w:t xml:space="preserve">При преобразовании:</w:t>
      </w:r>
    </w:p>
    <w:p>
      <w:pPr>
        <w:pStyle w:val="Compact"/>
        <w:numPr>
          <w:ilvl w:val="0"/>
          <w:numId w:val="1040"/>
        </w:numPr>
      </w:pPr>
      <w:r>
        <w:t xml:space="preserve">код рабочего листа в поле</w:t>
      </w:r>
      <w:r>
        <w:t xml:space="preserve"> </w:t>
      </w:r>
      <w:r>
        <w:rPr>
          <w:rStyle w:val="VerbatimChar"/>
        </w:rPr>
        <w:t xml:space="preserve">920</w:t>
      </w:r>
      <w:r>
        <w:t xml:space="preserve"> </w:t>
      </w:r>
      <w:r>
        <w:t xml:space="preserve">заменяется на</w:t>
      </w:r>
      <w:r>
        <w:t xml:space="preserve"> </w:t>
      </w:r>
      <w:r>
        <w:rPr>
          <w:rStyle w:val="VerbatimChar"/>
        </w:rPr>
        <w:t xml:space="preserve">SPEC</w:t>
      </w:r>
      <w:r>
        <w:t xml:space="preserve">;</w:t>
      </w:r>
    </w:p>
    <w:p>
      <w:pPr>
        <w:pStyle w:val="Compact"/>
        <w:numPr>
          <w:ilvl w:val="0"/>
          <w:numId w:val="1040"/>
        </w:numPr>
      </w:pPr>
      <w:r>
        <w:t xml:space="preserve">вводятся поля связи с библиографическим описанием журнала и сведения о серии или подсерии;</w:t>
      </w:r>
    </w:p>
    <w:p>
      <w:pPr>
        <w:pStyle w:val="Compact"/>
        <w:numPr>
          <w:ilvl w:val="0"/>
          <w:numId w:val="1040"/>
        </w:numPr>
      </w:pPr>
      <w:r>
        <w:t xml:space="preserve">обозначение тома и номера переносится в</w:t>
      </w:r>
      <w:r>
        <w:t xml:space="preserve"> </w:t>
      </w:r>
      <w:r>
        <w:rPr>
          <w:rStyle w:val="VerbatimChar"/>
        </w:rPr>
        <w:t xml:space="preserve">200^v</w:t>
      </w:r>
      <w:r>
        <w:t xml:space="preserve">;</w:t>
      </w:r>
    </w:p>
    <w:p>
      <w:pPr>
        <w:pStyle w:val="Compact"/>
        <w:numPr>
          <w:ilvl w:val="0"/>
          <w:numId w:val="1040"/>
        </w:numPr>
      </w:pPr>
      <w:r>
        <w:t xml:space="preserve">год выпуска переносится в выходные данные;</w:t>
      </w:r>
    </w:p>
    <w:p>
      <w:pPr>
        <w:pStyle w:val="Compact"/>
        <w:numPr>
          <w:ilvl w:val="0"/>
          <w:numId w:val="1040"/>
        </w:numPr>
      </w:pPr>
      <w:r>
        <w:t xml:space="preserve">вид документа формируется по коду из записи журнала;</w:t>
      </w:r>
    </w:p>
    <w:p>
      <w:pPr>
        <w:pStyle w:val="Compact"/>
        <w:numPr>
          <w:ilvl w:val="0"/>
          <w:numId w:val="1040"/>
        </w:numPr>
      </w:pPr>
      <w:r>
        <w:t xml:space="preserve">оглавление выпуска из</w:t>
      </w:r>
      <w:r>
        <w:t xml:space="preserve"> </w:t>
      </w:r>
      <w:r>
        <w:rPr>
          <w:rStyle w:val="VerbatimChar"/>
        </w:rPr>
        <w:t xml:space="preserve">922</w:t>
      </w:r>
      <w:r>
        <w:t xml:space="preserve"> </w:t>
      </w:r>
      <w:r>
        <w:t xml:space="preserve">копируется в</w:t>
      </w:r>
      <w:r>
        <w:t xml:space="preserve"> </w:t>
      </w:r>
      <w:r>
        <w:rPr>
          <w:rStyle w:val="VerbatimChar"/>
        </w:rPr>
        <w:t xml:space="preserve">330</w:t>
      </w:r>
      <w:r>
        <w:t xml:space="preserve">;</w:t>
      </w:r>
    </w:p>
    <w:p>
      <w:pPr>
        <w:pStyle w:val="Compact"/>
        <w:numPr>
          <w:ilvl w:val="0"/>
          <w:numId w:val="1040"/>
        </w:numPr>
      </w:pPr>
      <w:r>
        <w:t xml:space="preserve">поле</w:t>
      </w:r>
      <w:r>
        <w:t xml:space="preserve"> </w:t>
      </w:r>
      <w:r>
        <w:rPr>
          <w:rStyle w:val="VerbatimChar"/>
        </w:rPr>
        <w:t xml:space="preserve">933</w:t>
      </w:r>
      <w:r>
        <w:t xml:space="preserve"> </w:t>
      </w:r>
      <w:r>
        <w:t xml:space="preserve">сохраняется как признак происхождения записи из номера журнала;</w:t>
      </w:r>
    </w:p>
    <w:p>
      <w:pPr>
        <w:pStyle w:val="Compact"/>
        <w:numPr>
          <w:ilvl w:val="0"/>
          <w:numId w:val="1040"/>
        </w:numPr>
      </w:pPr>
      <w:r>
        <w:t xml:space="preserve">отключается проверка экземпляров, потому что они не имеют отдельных инвентарных номеров.</w:t>
      </w:r>
    </w:p>
    <w:p>
      <w:pPr>
        <w:pStyle w:val="FirstParagraph"/>
      </w:pPr>
      <w:r>
        <w:t xml:space="preserve">В словаре видов документов такие выпуски выделяются отдельно как</w:t>
      </w:r>
      <w:r>
        <w:t xml:space="preserve"> </w:t>
      </w:r>
      <w:r>
        <w:rPr>
          <w:rStyle w:val="VerbatimChar"/>
        </w:rPr>
        <w:t xml:space="preserve">NJ_SPEC</w:t>
      </w:r>
      <w:r>
        <w:t xml:space="preserve">. При анализе партии записи</w:t>
      </w:r>
      <w:r>
        <w:t xml:space="preserve"> </w:t>
      </w:r>
      <w:r>
        <w:rPr>
          <w:rStyle w:val="VerbatimChar"/>
        </w:rPr>
        <w:t xml:space="preserve">SPEC</w:t>
      </w:r>
      <w:r>
        <w:t xml:space="preserve">, полученные из</w:t>
      </w:r>
      <w:r>
        <w:t xml:space="preserve"> </w:t>
      </w:r>
      <w:r>
        <w:rPr>
          <w:rStyle w:val="VerbatimChar"/>
        </w:rPr>
        <w:t xml:space="preserve">NJ</w:t>
      </w:r>
      <w:r>
        <w:t xml:space="preserve">, рассматриваются как журналы по наличию поля</w:t>
      </w:r>
      <w:r>
        <w:t xml:space="preserve"> </w:t>
      </w:r>
      <w:r>
        <w:rPr>
          <w:rStyle w:val="VerbatimChar"/>
        </w:rPr>
        <w:t xml:space="preserve">933</w:t>
      </w:r>
      <w:r>
        <w:t xml:space="preserve">.</w:t>
      </w:r>
    </w:p>
    <w:bookmarkEnd w:id="167"/>
    <w:bookmarkStart w:id="168" w:name="ввод-аналитического-описания-статьи"/>
    <w:p>
      <w:pPr>
        <w:pStyle w:val="Heading4"/>
      </w:pPr>
      <w:r>
        <w:t xml:space="preserve">16. Ввод аналитического описания статьи</w:t>
      </w:r>
    </w:p>
    <w:p>
      <w:pPr>
        <w:pStyle w:val="FirstParagraph"/>
      </w:pPr>
      <w:r>
        <w:t xml:space="preserve">Аналитическое описание статьи можно вводить как самостоятельный документ независимо от того, есть ли в базе запись документа-источника. Источником может быть номер журнала или газеты, том многотомного издания, сборник под общим заглавием, сборник без общего заглавия, грампластинка, сборник нот и другие документы.</w:t>
      </w:r>
    </w:p>
    <w:p>
      <w:pPr>
        <w:pStyle w:val="BodyText"/>
      </w:pPr>
      <w:r>
        <w:t xml:space="preserve">Для аналитики используются рабочие листы</w:t>
      </w:r>
      <w:r>
        <w:t xml:space="preserve"> </w:t>
      </w:r>
      <w:r>
        <w:rPr>
          <w:rStyle w:val="VerbatimChar"/>
        </w:rPr>
        <w:t xml:space="preserve">ASP42</w:t>
      </w:r>
      <w:r>
        <w:t xml:space="preserve"> </w:t>
      </w:r>
      <w:r>
        <w:t xml:space="preserve">или</w:t>
      </w:r>
      <w:r>
        <w:t xml:space="preserve"> </w:t>
      </w:r>
      <w:r>
        <w:rPr>
          <w:rStyle w:val="VerbatimChar"/>
        </w:rPr>
        <w:t xml:space="preserve">ASP71</w:t>
      </w:r>
      <w:r>
        <w:t xml:space="preserve"> </w:t>
      </w:r>
      <w:r>
        <w:t xml:space="preserve">для статьи и</w:t>
      </w:r>
      <w:r>
        <w:t xml:space="preserve"> </w:t>
      </w:r>
      <w:r>
        <w:rPr>
          <w:rStyle w:val="VerbatimChar"/>
        </w:rPr>
        <w:t xml:space="preserve">AUNTD42</w:t>
      </w:r>
      <w:r>
        <w:t xml:space="preserve"> </w:t>
      </w:r>
      <w:r>
        <w:t xml:space="preserve">или</w:t>
      </w:r>
      <w:r>
        <w:t xml:space="preserve"> </w:t>
      </w:r>
      <w:r>
        <w:rPr>
          <w:rStyle w:val="VerbatimChar"/>
        </w:rPr>
        <w:t xml:space="preserve">AUNTD71</w:t>
      </w:r>
      <w:r>
        <w:t xml:space="preserve"> </w:t>
      </w:r>
      <w:r>
        <w:t xml:space="preserve">для юридического, директивного или нормативно-технического документа. Первая страница этих рабочих листов служит листом сверки на дублетность; данные сверяются с поисковым словарём. При отсутствии заглавия сохранение записи блокируется, а при отсутствии шифра система формирует его автоматически.</w:t>
      </w:r>
    </w:p>
    <w:p>
      <w:pPr>
        <w:pStyle w:val="BodyText"/>
      </w:pPr>
      <w:r>
        <w:t xml:space="preserve">Запись статьи можно создать тремя способами:</w:t>
      </w:r>
    </w:p>
    <w:p>
      <w:pPr>
        <w:pStyle w:val="Compact"/>
        <w:numPr>
          <w:ilvl w:val="0"/>
          <w:numId w:val="1041"/>
        </w:numPr>
      </w:pPr>
      <w:r>
        <w:t xml:space="preserve">вручную с клавиатуры;</w:t>
      </w:r>
    </w:p>
    <w:p>
      <w:pPr>
        <w:pStyle w:val="Compact"/>
        <w:numPr>
          <w:ilvl w:val="0"/>
          <w:numId w:val="1041"/>
        </w:numPr>
      </w:pPr>
      <w:r>
        <w:t xml:space="preserve">копированием из документа-источника или другой статьи из того же источника;</w:t>
      </w:r>
    </w:p>
    <w:p>
      <w:pPr>
        <w:pStyle w:val="Compact"/>
        <w:numPr>
          <w:ilvl w:val="0"/>
          <w:numId w:val="1041"/>
        </w:numPr>
      </w:pPr>
      <w:r>
        <w:t xml:space="preserve">массовым созданием аналитических описаний из содержания сборника или оглавления номера журнала.</w:t>
      </w:r>
    </w:p>
    <w:bookmarkEnd w:id="168"/>
    <w:bookmarkStart w:id="169" w:name="ручной-ввод-статьи"/>
    <w:p>
      <w:pPr>
        <w:pStyle w:val="Heading4"/>
      </w:pPr>
      <w:r>
        <w:t xml:space="preserve">17. Ручной ввод статьи</w:t>
      </w:r>
    </w:p>
    <w:p>
      <w:pPr>
        <w:pStyle w:val="FirstParagraph"/>
      </w:pPr>
      <w:r>
        <w:t xml:space="preserve">Ручной ввод уместен, когда записи источника нет в базе или когда сведения об источнике и статье нужно внести без опоры на уже существующий документ.</w:t>
      </w:r>
    </w:p>
    <w:p>
      <w:pPr>
        <w:pStyle w:val="BodyText"/>
      </w:pPr>
      <w:r>
        <w:t xml:space="preserve">При ручном вводе каталогизатор выбирает рабочий лист</w:t>
      </w:r>
      <w:r>
        <w:t xml:space="preserve"> </w:t>
      </w:r>
      <w:r>
        <w:rPr>
          <w:rStyle w:val="VerbatimChar"/>
        </w:rPr>
        <w:t xml:space="preserve">ASP</w:t>
      </w:r>
      <w:r>
        <w:t xml:space="preserve"> </w:t>
      </w:r>
      <w:r>
        <w:t xml:space="preserve">или</w:t>
      </w:r>
      <w:r>
        <w:t xml:space="preserve"> </w:t>
      </w:r>
      <w:r>
        <w:rPr>
          <w:rStyle w:val="VerbatimChar"/>
        </w:rPr>
        <w:t xml:space="preserve">AUNTD</w:t>
      </w:r>
      <w:r>
        <w:t xml:space="preserve">, последовательно заполняет страницы рабочего листа, проверяет формируемое описание в выходном формате и сохраняет запись. Поля заполняются по общим правилам библиографического описания и правилам для специфических полей аналитики.</w:t>
      </w:r>
    </w:p>
    <w:p>
      <w:pPr>
        <w:pStyle w:val="BodyText"/>
      </w:pPr>
      <w:r>
        <w:t xml:space="preserve">Особое внимание нужно уделить сведениям об источнике публикации. Именно они связывают статью с документом, в котором она опубликована, позволяют искать статьи одного источника и корректно выводить данные в форматах просмотра, указателях и карточках.</w:t>
      </w:r>
    </w:p>
    <w:bookmarkEnd w:id="169"/>
    <w:bookmarkStart w:id="170" w:name="создание-статьи-копированием"/>
    <w:p>
      <w:pPr>
        <w:pStyle w:val="Heading4"/>
      </w:pPr>
      <w:r>
        <w:t xml:space="preserve">18. Создание статьи копированием</w:t>
      </w:r>
    </w:p>
    <w:p>
      <w:pPr>
        <w:pStyle w:val="FirstParagraph"/>
      </w:pPr>
      <w:r>
        <w:t xml:space="preserve">Копирование уменьшает объём ручного ввода. Исходным документом может быть документ-источник или уже созданная статья из того же источника.</w:t>
      </w:r>
    </w:p>
    <w:p>
      <w:pPr>
        <w:pStyle w:val="BodyText"/>
      </w:pPr>
      <w:r>
        <w:t xml:space="preserve">Копирование целесообразно использовать, если:</w:t>
      </w:r>
    </w:p>
    <w:p>
      <w:pPr>
        <w:pStyle w:val="Compact"/>
        <w:numPr>
          <w:ilvl w:val="0"/>
          <w:numId w:val="1042"/>
        </w:numPr>
      </w:pPr>
      <w:r>
        <w:t xml:space="preserve">в базе есть запись номера журнала, сборника, тома или другого источника;</w:t>
      </w:r>
    </w:p>
    <w:p>
      <w:pPr>
        <w:pStyle w:val="Compact"/>
        <w:numPr>
          <w:ilvl w:val="0"/>
          <w:numId w:val="1042"/>
        </w:numPr>
      </w:pPr>
      <w:r>
        <w:t xml:space="preserve">в источнике уже заполнено содержание или оглавление;</w:t>
      </w:r>
    </w:p>
    <w:p>
      <w:pPr>
        <w:pStyle w:val="Compact"/>
        <w:numPr>
          <w:ilvl w:val="0"/>
          <w:numId w:val="1042"/>
        </w:numPr>
      </w:pPr>
      <w:r>
        <w:t xml:space="preserve">требуется создать несколько статей из одного источника;</w:t>
      </w:r>
    </w:p>
    <w:p>
      <w:pPr>
        <w:pStyle w:val="Compact"/>
        <w:numPr>
          <w:ilvl w:val="0"/>
          <w:numId w:val="1042"/>
        </w:numPr>
      </w:pPr>
      <w:r>
        <w:t xml:space="preserve">новая статья похожа на уже созданную статью из того же выпуска или сборника.</w:t>
      </w:r>
    </w:p>
    <w:p>
      <w:pPr>
        <w:pStyle w:val="FirstParagraph"/>
      </w:pPr>
      <w:r>
        <w:t xml:space="preserve">При копировании каталогизатор выбирает таблицу переформатирования с учётом вида источника и цели создания записи. Основные таблицы перечислены выше в разделе о копировании:</w:t>
      </w:r>
      <w:r>
        <w:t xml:space="preserve"> </w:t>
      </w:r>
      <w:r>
        <w:rPr>
          <w:rStyle w:val="VerbatimChar"/>
        </w:rPr>
        <w:t xml:space="preserve">KPST</w:t>
      </w:r>
      <w:r>
        <w:t xml:space="preserve"> </w:t>
      </w:r>
      <w:r>
        <w:t xml:space="preserve">создаёт аналитическое описание из монографического, сводного описания или номера журнала,</w:t>
      </w:r>
      <w:r>
        <w:t xml:space="preserve"> </w:t>
      </w:r>
      <w:r>
        <w:rPr>
          <w:rStyle w:val="VerbatimChar"/>
        </w:rPr>
        <w:t xml:space="preserve">KPSU</w:t>
      </w:r>
      <w:r>
        <w:t xml:space="preserve"> </w:t>
      </w:r>
      <w:r>
        <w:t xml:space="preserve">используется для юридического документа,</w:t>
      </w:r>
      <w:r>
        <w:t xml:space="preserve"> </w:t>
      </w:r>
      <w:r>
        <w:rPr>
          <w:rStyle w:val="VerbatimChar"/>
        </w:rPr>
        <w:t xml:space="preserve">STN</w:t>
      </w:r>
      <w:r>
        <w:t xml:space="preserve"> </w:t>
      </w:r>
      <w:r>
        <w:t xml:space="preserve">создаёт аналитику из строки содержания,</w:t>
      </w:r>
      <w:r>
        <w:t xml:space="preserve"> </w:t>
      </w:r>
      <w:r>
        <w:rPr>
          <w:rStyle w:val="VerbatimChar"/>
        </w:rPr>
        <w:t xml:space="preserve">ST_481</w:t>
      </w:r>
      <w:r>
        <w:t xml:space="preserve"> </w:t>
      </w:r>
      <w:r>
        <w:t xml:space="preserve">- аналитику на аллигат.</w:t>
      </w:r>
    </w:p>
    <w:p>
      <w:pPr>
        <w:pStyle w:val="BodyText"/>
      </w:pPr>
      <w:r>
        <w:t xml:space="preserve">Если в документе-источнике заполнено содержание сборника, поле второй и последующих статей сборника или оглавление номера журнала, можно указать номер статьи для копирования. Тогда в новую запись переносятся не только сведения об источнике, но и данные самой статьи: авторы, заглавие, страницы, ключевые слова и другие сведения, введённые ранее в источнике.</w:t>
      </w:r>
    </w:p>
    <w:p>
      <w:pPr>
        <w:pStyle w:val="BodyText"/>
      </w:pPr>
      <w:r>
        <w:t xml:space="preserve">Копировать можно в текущую базу электронного каталога или в отдельную базу. В оперативных режимах копирование выполняется только в текущую базу и не требует отдельного выбора таблицы и базы.</w:t>
      </w:r>
    </w:p>
    <w:p>
      <w:pPr>
        <w:pStyle w:val="BodyText"/>
      </w:pPr>
      <w:r>
        <w:t xml:space="preserve">После копирования новую запись обязательно проверяют и дополняют. Даже если перенесено полное описание статьи, каталогизатор должен проверить заголовок, заглавие, сведения об источнике, страницы, систематизацию, ключевые слова, вид документа и признаки вывода.</w:t>
      </w:r>
    </w:p>
    <w:bookmarkEnd w:id="170"/>
    <w:bookmarkStart w:id="171" w:name="Xfbf7fb70487c9272dbc20ad5296eaa7079ee3e1"/>
    <w:p>
      <w:pPr>
        <w:pStyle w:val="Heading4"/>
      </w:pPr>
      <w:r>
        <w:t xml:space="preserve">19. Массовое создание аналитики из содержания</w:t>
      </w:r>
    </w:p>
    <w:p>
      <w:pPr>
        <w:pStyle w:val="FirstParagraph"/>
      </w:pPr>
      <w:r>
        <w:t xml:space="preserve">Если в отобранных документах заполнены поля содержания сборника или оглавления журнала, аналитические описания для всех повторений можно создать глобальной корректировкой</w:t>
      </w:r>
      <w:r>
        <w:t xml:space="preserve"> </w:t>
      </w:r>
      <w:r>
        <w:rPr>
          <w:rStyle w:val="VerbatimChar"/>
        </w:rPr>
        <w:t xml:space="preserve">STN.GBL</w:t>
      </w:r>
      <w:r>
        <w:t xml:space="preserve">.</w:t>
      </w:r>
    </w:p>
    <w:p>
      <w:pPr>
        <w:pStyle w:val="BodyText"/>
      </w:pPr>
      <w:r>
        <w:t xml:space="preserve">При таком создании система определяет рабочий лист новой записи по характеру документа. Если в источнике указаны коды юридического документа или юридической статьи, создаётся рабочий лист</w:t>
      </w:r>
      <w:r>
        <w:t xml:space="preserve"> </w:t>
      </w:r>
      <w:r>
        <w:rPr>
          <w:rStyle w:val="VerbatimChar"/>
        </w:rPr>
        <w:t xml:space="preserve">AUNTD</w:t>
      </w:r>
      <w:r>
        <w:t xml:space="preserve">; в остальных случаях создаётся</w:t>
      </w:r>
      <w:r>
        <w:t xml:space="preserve"> </w:t>
      </w:r>
      <w:r>
        <w:rPr>
          <w:rStyle w:val="VerbatimChar"/>
        </w:rPr>
        <w:t xml:space="preserve">ASP</w:t>
      </w:r>
      <w:r>
        <w:t xml:space="preserve">.</w:t>
      </w:r>
    </w:p>
    <w:p>
      <w:pPr>
        <w:pStyle w:val="BodyText"/>
      </w:pPr>
      <w:r>
        <w:t xml:space="preserve">При массовом создании аналитики:</w:t>
      </w:r>
    </w:p>
    <w:p>
      <w:pPr>
        <w:pStyle w:val="Compact"/>
        <w:numPr>
          <w:ilvl w:val="0"/>
          <w:numId w:val="1043"/>
        </w:numPr>
      </w:pPr>
      <w:r>
        <w:t xml:space="preserve">аналитические описания не создаются на заголовки разделов;</w:t>
      </w:r>
    </w:p>
    <w:p>
      <w:pPr>
        <w:pStyle w:val="Compact"/>
        <w:numPr>
          <w:ilvl w:val="0"/>
          <w:numId w:val="1043"/>
        </w:numPr>
      </w:pPr>
      <w:r>
        <w:t xml:space="preserve">сведения о разделе и номер позиции в разделе переносятся в поле серии</w:t>
      </w:r>
      <w:r>
        <w:t xml:space="preserve"> </w:t>
      </w:r>
      <w:r>
        <w:rPr>
          <w:rStyle w:val="VerbatimChar"/>
        </w:rPr>
        <w:t xml:space="preserve">225</w:t>
      </w:r>
      <w:r>
        <w:t xml:space="preserve">;</w:t>
      </w:r>
    </w:p>
    <w:p>
      <w:pPr>
        <w:pStyle w:val="Compact"/>
        <w:numPr>
          <w:ilvl w:val="0"/>
          <w:numId w:val="1043"/>
        </w:numPr>
      </w:pPr>
      <w:r>
        <w:t xml:space="preserve">специальные символы разметки содержания игнорируются;</w:t>
      </w:r>
    </w:p>
    <w:p>
      <w:pPr>
        <w:pStyle w:val="Compact"/>
        <w:numPr>
          <w:ilvl w:val="0"/>
          <w:numId w:val="1043"/>
        </w:numPr>
      </w:pPr>
      <w:r>
        <w:t xml:space="preserve">созданные записи нужно проверить так же, как записи, полученные обычным копированием.</w:t>
      </w:r>
    </w:p>
    <w:p>
      <w:pPr>
        <w:pStyle w:val="FirstParagraph"/>
      </w:pPr>
      <w:r>
        <w:t xml:space="preserve">Этот способ удобен, когда оглавление уже введено в записи источника качественно и полно. Если содержание введено выборочно, с пропусками или с методическими сокращениями, массовое создание аналитики может потребовать значительной последующей корректуры.</w:t>
      </w:r>
    </w:p>
    <w:bookmarkEnd w:id="171"/>
    <w:bookmarkStart w:id="174" w:name="глобальная-корректировка-данных"/>
    <w:p>
      <w:pPr>
        <w:pStyle w:val="Heading4"/>
      </w:pPr>
      <w:r>
        <w:t xml:space="preserve">20. Глобальная корректировка данных</w:t>
      </w:r>
    </w:p>
    <w:p>
      <w:pPr>
        <w:pStyle w:val="FirstParagraph"/>
      </w:pPr>
      <w:r>
        <w:t xml:space="preserve">Глобальная корректировка применяется, когда однотипное изменение нужно внести в большое число записей. Это технологический режим групповой обработки, поэтому перед запуском нужно явно определить область применения, задание и ожидаемый результат.</w:t>
      </w:r>
    </w:p>
    <w:p>
      <w:pPr>
        <w:pStyle w:val="BodyText"/>
      </w:pPr>
      <w:r>
        <w:t xml:space="preserve">Глобальная корректировка уместна для задач, где ручное редактирование отдельных записей создаёт высокий риск расхождений:</w:t>
      </w:r>
    </w:p>
    <w:p>
      <w:pPr>
        <w:pStyle w:val="Compact"/>
        <w:numPr>
          <w:ilvl w:val="0"/>
          <w:numId w:val="1044"/>
        </w:numPr>
      </w:pPr>
      <w:r>
        <w:t xml:space="preserve">замена или удаление индексов ГРНТИ, УДК, ББК;</w:t>
      </w:r>
    </w:p>
    <w:p>
      <w:pPr>
        <w:pStyle w:val="Compact"/>
        <w:numPr>
          <w:ilvl w:val="0"/>
          <w:numId w:val="1044"/>
        </w:numPr>
      </w:pPr>
      <w:r>
        <w:t xml:space="preserve">исправление ошибочного фрагмента общего заглавия, размноженного в записях томов;</w:t>
      </w:r>
    </w:p>
    <w:p>
      <w:pPr>
        <w:pStyle w:val="Compact"/>
        <w:numPr>
          <w:ilvl w:val="0"/>
          <w:numId w:val="1044"/>
        </w:numPr>
      </w:pPr>
      <w:r>
        <w:t xml:space="preserve">обработка проверенных экземпляров при проверке фонда;</w:t>
      </w:r>
    </w:p>
    <w:p>
      <w:pPr>
        <w:pStyle w:val="Compact"/>
        <w:numPr>
          <w:ilvl w:val="0"/>
          <w:numId w:val="1044"/>
        </w:numPr>
      </w:pPr>
      <w:r>
        <w:t xml:space="preserve">технологическая обработка подшивок газет и журналов;</w:t>
      </w:r>
    </w:p>
    <w:p>
      <w:pPr>
        <w:pStyle w:val="Compact"/>
        <w:numPr>
          <w:ilvl w:val="0"/>
          <w:numId w:val="1044"/>
        </w:numPr>
      </w:pPr>
      <w:r>
        <w:t xml:space="preserve">корректировка записей после импорта из внешних форматов;</w:t>
      </w:r>
    </w:p>
    <w:p>
      <w:pPr>
        <w:pStyle w:val="Compact"/>
        <w:numPr>
          <w:ilvl w:val="0"/>
          <w:numId w:val="1044"/>
        </w:numPr>
      </w:pPr>
      <w:r>
        <w:t xml:space="preserve">создание или пополнение авторитетных баз по данным электронного каталога.</w:t>
      </w:r>
    </w:p>
    <w:p>
      <w:pPr>
        <w:pStyle w:val="FirstParagraph"/>
      </w:pPr>
      <w:r>
        <w:t xml:space="preserve">Перед выполнением нужно отобрать документы, которые действительно должны попасть под корректировку. Если задание выполняется по диапазону MFN, диапазон должен соответствовать только нужной партии, например интервалу импортированных записей. Если задание выполняется по результатам поиска, поисковый запрос нужно проверить просмотром нескольких записей из начала, середины и конца выборки.</w:t>
      </w:r>
    </w:p>
    <w:p>
      <w:pPr>
        <w:pStyle w:val="BodyText"/>
      </w:pPr>
      <w:r>
        <w:t xml:space="preserve">В форме глобальной корректировки задаются:</w:t>
      </w:r>
    </w:p>
    <w:p>
      <w:pPr>
        <w:pStyle w:val="Compact"/>
        <w:numPr>
          <w:ilvl w:val="0"/>
          <w:numId w:val="1045"/>
        </w:numPr>
      </w:pPr>
      <w:r>
        <w:t xml:space="preserve">диапазон записей или область обработки;</w:t>
      </w:r>
    </w:p>
    <w:p>
      <w:pPr>
        <w:pStyle w:val="Compact"/>
        <w:numPr>
          <w:ilvl w:val="0"/>
          <w:numId w:val="1045"/>
        </w:numPr>
      </w:pPr>
      <w:r>
        <w:t xml:space="preserve">готовое задание корректировки либо новое задание;</w:t>
      </w:r>
    </w:p>
    <w:p>
      <w:pPr>
        <w:pStyle w:val="Compact"/>
        <w:numPr>
          <w:ilvl w:val="0"/>
          <w:numId w:val="1045"/>
        </w:numPr>
      </w:pPr>
      <w:r>
        <w:t xml:space="preserve">заменяемые и заменяющие значения, если задание параметризуется;</w:t>
      </w:r>
    </w:p>
    <w:p>
      <w:pPr>
        <w:pStyle w:val="Compact"/>
        <w:numPr>
          <w:ilvl w:val="0"/>
          <w:numId w:val="1045"/>
        </w:numPr>
      </w:pPr>
      <w:r>
        <w:t xml:space="preserve">база, словари и служебные условия, если они требуются конкретной технологией.</w:t>
      </w:r>
    </w:p>
    <w:p>
      <w:pPr>
        <w:pStyle w:val="FirstParagraph"/>
      </w:pPr>
      <w:r>
        <w:t xml:space="preserve">Есть три базовых варианта работы с заданием: выполнить готовое задание без изменения, выполнить готовое задание с уточнением параметров или создать новое задание. Готовые задания можно использовать только после проверки, что они соответствуют текущей структуре базы, локальным справочникам и принятой методике организации.</w:t>
      </w:r>
    </w:p>
    <w:bookmarkStart w:id="173" w:name="Xcd387482014d0e2c5e121a9217b41cdf326a762"/>
    <w:p>
      <w:pPr>
        <w:pStyle w:val="Heading5"/>
      </w:pPr>
      <w:r>
        <w:t xml:space="preserve">20.1. Параметры в заданиях, формируемых форматом</w:t>
      </w:r>
    </w:p>
    <w:p>
      <w:pPr>
        <w:pStyle w:val="FirstParagraph"/>
      </w:pPr>
      <w:r>
        <w:t xml:space="preserve">Пакетное задание может быть задано не только готовым списком команд, но и форматом, который сначала формирует строки задания. Такой формат может сам содержать переменные параметры вида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а затем вывести строки, где эти параметры используются повторно.</w:t>
      </w:r>
    </w:p>
    <w:p>
      <w:pPr>
        <w:pStyle w:val="BodyText"/>
      </w:pPr>
      <w:r>
        <w:t xml:space="preserve">Если первая строка задания указывает WSS-описание параметров или начинается с</w:t>
      </w:r>
      <w:r>
        <w:t xml:space="preserve"> </w:t>
      </w:r>
      <w:r>
        <w:rPr>
          <w:rStyle w:val="VerbatimChar"/>
        </w:rPr>
        <w:t xml:space="preserve">@</w:t>
      </w:r>
      <w:r>
        <w:t xml:space="preserve">, АРМ открывает окно ввода параметров до выполнения формата. После выполнения формата сформированные строки задания разбираются обычным способом, поэтому параметры, оставшиеся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w:t>
      </w:r>
      <w:r>
        <w:t xml:space="preserve">и других командах, также будут подставлены перед запуском корректировки.</w:t>
      </w:r>
    </w:p>
    <w:p>
      <w:pPr>
        <w:pStyle w:val="BodyText"/>
      </w:pPr>
      <w:r>
        <w:t xml:space="preserve">Например, формат может сначала запросить номер КСУ, чтобы сформировать строку поиска</w:t>
      </w:r>
      <w:r>
        <w:t xml:space="preserve"> </w:t>
      </w:r>
      <w:r>
        <w:rPr>
          <w:rStyle w:val="VerbatimChar"/>
        </w:rPr>
        <w:t xml:space="preserve">SEARCH "NKSU=%1"</w:t>
      </w:r>
      <w:r>
        <w:t xml:space="preserve">, а затем вывести строку печати с тем же</w:t>
      </w:r>
      <w:r>
        <w:t xml:space="preserve"> </w:t>
      </w:r>
      <w:r>
        <w:rPr>
          <w:rStyle w:val="VerbatimChar"/>
        </w:rPr>
        <w:t xml:space="preserve">%1</w:t>
      </w:r>
      <w:r>
        <w:t xml:space="preserve"> </w:t>
      </w:r>
      <w:r>
        <w:t xml:space="preserve">и дополнительными параметрами</w:t>
      </w:r>
      <w:r>
        <w:t xml:space="preserve"> </w:t>
      </w:r>
      <w:r>
        <w:rPr>
          <w:rStyle w:val="VerbatimChar"/>
        </w:rPr>
        <w:t xml:space="preserve">%2</w:t>
      </w:r>
      <w:r>
        <w:t xml:space="preserve"> </w:t>
      </w:r>
      <w:r>
        <w:t xml:space="preserve">и</w:t>
      </w:r>
      <w:r>
        <w:t xml:space="preserve"> </w:t>
      </w:r>
      <w:r>
        <w:rPr>
          <w:rStyle w:val="VerbatimChar"/>
        </w:rPr>
        <w:t xml:space="preserve">%3</w:t>
      </w:r>
      <w:r>
        <w:t xml:space="preserve"> </w:t>
      </w:r>
      <w:r>
        <w:t xml:space="preserve">для мест хранения. В этом случае пользователь вводит значения параметров, а итоговое пакетное задание выполняется уже с готовыми строками отбора и печати.</w:t>
      </w:r>
    </w:p>
    <w:p>
      <w:pPr>
        <w:pStyle w:val="BodyText"/>
      </w:pPr>
      <w:r>
        <w:t xml:space="preserve">При подготовке таких заданий важно проверить WSS-описание параметров, порядок нумерации</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и синтаксис самого формата. Если формат содержит повторяющиеся группы или вложенные условия, они должны быть закрыты полностью, иначе окно параметров может открыться, но сформировать корректное задание не получится.</w:t>
      </w:r>
    </w:p>
    <w:p>
      <w:pPr>
        <w:pStyle w:val="BodyText"/>
      </w:pPr>
      <w:r>
        <w:t xml:space="preserve">Если вложенная глобальная корректировка должна отбирать записи сложным поисковым выражением, используйте оператор</w:t>
      </w:r>
      <w:r>
        <w:t xml:space="preserve"> </w:t>
      </w:r>
      <w:hyperlink r:id="rId172">
        <w:r>
          <w:rPr>
            <w:rStyle w:val="VerbatimChar"/>
          </w:rPr>
          <w:t xml:space="preserve">CORRECA</w:t>
        </w:r>
      </w:hyperlink>
      <w:r>
        <w:t xml:space="preserve">. Он работает как вариант</w:t>
      </w:r>
      <w:r>
        <w:t xml:space="preserve"> </w:t>
      </w:r>
      <w:r>
        <w:rPr>
          <w:rStyle w:val="VerbatimChar"/>
        </w:rPr>
        <w:t xml:space="preserve">CORREC</w:t>
      </w:r>
      <w:r>
        <w:t xml:space="preserve">, но получает поисковый запрос ИРБИС вместо готового списка терминов.</w:t>
      </w:r>
    </w:p>
    <w:p>
      <w:pPr>
        <w:pStyle w:val="BodyText"/>
      </w:pPr>
      <w:r>
        <w:t xml:space="preserve">После выполнения глобальной корректировки нужно проверить результат:</w:t>
      </w:r>
    </w:p>
    <w:p>
      <w:pPr>
        <w:pStyle w:val="Compact"/>
        <w:numPr>
          <w:ilvl w:val="0"/>
          <w:numId w:val="1046"/>
        </w:numPr>
      </w:pPr>
      <w:r>
        <w:t xml:space="preserve">просмотреть изменённые записи;</w:t>
      </w:r>
    </w:p>
    <w:p>
      <w:pPr>
        <w:pStyle w:val="Compact"/>
        <w:numPr>
          <w:ilvl w:val="0"/>
          <w:numId w:val="1046"/>
        </w:numPr>
      </w:pPr>
      <w:r>
        <w:t xml:space="preserve">убедиться, что словари актуализированы, если задание изменяло поисковые данные;</w:t>
      </w:r>
    </w:p>
    <w:p>
      <w:pPr>
        <w:pStyle w:val="Compact"/>
        <w:numPr>
          <w:ilvl w:val="0"/>
          <w:numId w:val="1046"/>
        </w:numPr>
      </w:pPr>
      <w:r>
        <w:t xml:space="preserve">проверить, не появились ли служебные термины, указывающие на незавершённую обработку;</w:t>
      </w:r>
    </w:p>
    <w:p>
      <w:pPr>
        <w:pStyle w:val="Compact"/>
        <w:numPr>
          <w:ilvl w:val="0"/>
          <w:numId w:val="1046"/>
        </w:numPr>
      </w:pPr>
      <w:r>
        <w:t xml:space="preserve">при обработке импортированных записей проверить вид документа, рабочий лист, экземпляры и связи;</w:t>
      </w:r>
    </w:p>
    <w:p>
      <w:pPr>
        <w:pStyle w:val="Compact"/>
        <w:numPr>
          <w:ilvl w:val="0"/>
          <w:numId w:val="1046"/>
        </w:numPr>
      </w:pPr>
      <w:r>
        <w:t xml:space="preserve">при массовой замене индексов проверить систематические словари и выходные формы.</w:t>
      </w:r>
    </w:p>
    <w:bookmarkEnd w:id="173"/>
    <w:bookmarkEnd w:id="174"/>
    <w:bookmarkStart w:id="175" w:name="типовые-задания-глобальной-корректировки"/>
    <w:p>
      <w:pPr>
        <w:pStyle w:val="Heading4"/>
      </w:pPr>
      <w:r>
        <w:t xml:space="preserve">21. Типовые задания глобальной корректировки</w:t>
      </w:r>
    </w:p>
    <w:p>
      <w:pPr>
        <w:pStyle w:val="FirstParagraph"/>
      </w:pPr>
      <w:r>
        <w:t xml:space="preserve">Постоянные задачи глобальной корректировки связаны с сопровождением базы: заменой классификационных индексов, исправлением размноженных ошибок, обработкой проверенных экземпляров и технологическими преобразованиями записей.</w:t>
      </w:r>
    </w:p>
    <w:p>
      <w:pPr>
        <w:pStyle w:val="BodyText"/>
      </w:pPr>
      <w:r>
        <w:t xml:space="preserve">После импорта записей глобальная корректировка может быть обязательной частью технологии. Для разных форматов и источников используются разные задания, а после обработки может потребоваться актуализация словарей. Например, после импорта</w:t>
      </w:r>
      <w:r>
        <w:t xml:space="preserve"> </w:t>
      </w:r>
      <w:r>
        <w:rPr>
          <w:rStyle w:val="VerbatimChar"/>
        </w:rPr>
        <w:t xml:space="preserve">RUSMARC</w:t>
      </w:r>
      <w:r>
        <w:t xml:space="preserve"> </w:t>
      </w:r>
      <w:r>
        <w:t xml:space="preserve">первая корректировка выполняется безусловно; если после актуализации словаря в словаре вида или типа документа остаётся термин</w:t>
      </w:r>
      <w:r>
        <w:t xml:space="preserve"> </w:t>
      </w:r>
      <w:r>
        <w:rPr>
          <w:rStyle w:val="VerbatimChar"/>
        </w:rPr>
        <w:t xml:space="preserve">MARC</w:t>
      </w:r>
      <w:r>
        <w:t xml:space="preserve">, это признак связанных записей высшего уровня, которые нужно обработать отдельным заданием и затем снова актуализировать словарь.</w:t>
      </w:r>
    </w:p>
    <w:p>
      <w:pPr>
        <w:pStyle w:val="BodyText"/>
      </w:pPr>
      <w:r>
        <w:t xml:space="preserve">Для импортов из систем с неоднозначным представлением данных нельзя выбирать задание формально. Сначала нужно проанализировать, как в импортированной базе представлены ББК, экземпляры и другие локально значимые поля, а затем выбрать подходящую модификацию задания.</w:t>
      </w:r>
    </w:p>
    <w:bookmarkEnd w:id="175"/>
    <w:bookmarkStart w:id="176" w:name="Xd720559d5c0385c82f530873c70f160a62cce92"/>
    <w:p>
      <w:pPr>
        <w:pStyle w:val="Heading4"/>
      </w:pPr>
      <w:r>
        <w:t xml:space="preserve">22. Авторитетные базы и глобальная корректировка</w:t>
      </w:r>
    </w:p>
    <w:p>
      <w:pPr>
        <w:pStyle w:val="FirstParagraph"/>
      </w:pPr>
      <w:r>
        <w:t xml:space="preserve">Глобальная корректировка может использоваться для создания и пополнения авторитетных баз, если у организации нет внешних авторитетных БД или если нужно использовать данные, вводимые в нескольких базах электронного каталога.</w:t>
      </w:r>
    </w:p>
    <w:p>
      <w:pPr>
        <w:pStyle w:val="BodyText"/>
      </w:pPr>
      <w:r>
        <w:t xml:space="preserve">Пополнение авторитетных баз возможно двумя способами:</w:t>
      </w:r>
    </w:p>
    <w:p>
      <w:pPr>
        <w:pStyle w:val="Compact"/>
        <w:numPr>
          <w:ilvl w:val="0"/>
          <w:numId w:val="1047"/>
        </w:numPr>
      </w:pPr>
      <w:r>
        <w:t xml:space="preserve">автоматически при сохранении записи в электронном каталоге, если в настройках АРМ включены соответствующие параметры;</w:t>
      </w:r>
    </w:p>
    <w:p>
      <w:pPr>
        <w:pStyle w:val="Compact"/>
        <w:numPr>
          <w:ilvl w:val="0"/>
          <w:numId w:val="1047"/>
        </w:numPr>
      </w:pPr>
      <w:r>
        <w:t xml:space="preserve">отдельными заданиями глобальной корректировки, независимо от этих параметров.</w:t>
      </w:r>
    </w:p>
    <w:p>
      <w:pPr>
        <w:pStyle w:val="FirstParagraph"/>
      </w:pPr>
      <w:r>
        <w:t xml:space="preserve">Типовые задания пополняют авторитетные базы авторов, коллективов и издательств, предметных рубрик, АПУ к УДК и АПУ к ББК. Для авторов обрабатываются все повторения полей авторской ответственности; для коллективов и издательств - поля коллективов, издателей и связанных сведений; для рубрик - предметные и географические рубрики; для классификаций - индексы УДК и ББК.</w:t>
      </w:r>
    </w:p>
    <w:p>
      <w:pPr>
        <w:pStyle w:val="BodyText"/>
      </w:pPr>
      <w:r>
        <w:t xml:space="preserve">При пополнении авторитетных баз выполняется проверка на дублетность. В авторитетной базе авторов устанавливаются связи между разночтением и основным именем, в базе коллективов и издательств - связи между аббревиатурой и полным названием. Для предметных рубрик автоматическое выявление дублетов сложнее, поэтому после пополнения может потребоваться последовательный поиск и ручная проверка.</w:t>
      </w:r>
    </w:p>
    <w:p>
      <w:pPr>
        <w:pStyle w:val="BodyText"/>
      </w:pPr>
      <w:r>
        <w:t xml:space="preserve">Для АПУ к УДК и ББК пополняются составные индексы, введённые систематизатором в электронном каталоге. Если в поле индекса заполнено подполе с текстом, при выполнении задания новый индекс проверяется в авторитетной базе; для оригинального индекса создаётся новая запись, а текст в записи электронного каталога очищается.</w:t>
      </w:r>
    </w:p>
    <w:p>
      <w:pPr>
        <w:pStyle w:val="BodyText"/>
      </w:pPr>
      <w:r>
        <w:t xml:space="preserve">Если при корректировке рубрик в авторитетной базе должна автоматически корректироваться соответствующая рубрика в электронном каталоге, нужно включить параметр</w:t>
      </w:r>
      <w:r>
        <w:t xml:space="preserve"> </w:t>
      </w:r>
      <w:r>
        <w:rPr>
          <w:rStyle w:val="VerbatimChar"/>
        </w:rPr>
        <w:t xml:space="preserve">ATHRSAK=1</w:t>
      </w:r>
      <w:r>
        <w:t xml:space="preserve">, перестроить словари при необходимости и указать базы ЭК в параметрах</w:t>
      </w:r>
      <w:r>
        <w:t xml:space="preserve"> </w:t>
      </w:r>
      <w:r>
        <w:rPr>
          <w:rStyle w:val="VerbatimChar"/>
        </w:rPr>
        <w:t xml:space="preserve">DBEK1</w:t>
      </w:r>
      <w:r>
        <w:t xml:space="preserve">,</w:t>
      </w:r>
      <w:r>
        <w:t xml:space="preserve"> </w:t>
      </w:r>
      <w:r>
        <w:rPr>
          <w:rStyle w:val="VerbatimChar"/>
        </w:rPr>
        <w:t xml:space="preserve">DBEK2</w:t>
      </w:r>
      <w:r>
        <w:t xml:space="preserve">,</w:t>
      </w:r>
      <w:r>
        <w:t xml:space="preserve"> </w:t>
      </w:r>
      <w:r>
        <w:rPr>
          <w:rStyle w:val="VerbatimChar"/>
        </w:rPr>
        <w:t xml:space="preserve">DBEK3</w:t>
      </w:r>
      <w:r>
        <w:t xml:space="preserve">. Идентификация рубрик выполняется по свёрткам, поэтому перед включением этой технологии важно убедиться, что словари электронного каталога построены заново и согласованы с авторитетной базой.</w:t>
      </w:r>
    </w:p>
    <w:bookmarkEnd w:id="176"/>
    <w:bookmarkStart w:id="180" w:name="проверка-фонда"/>
    <w:p>
      <w:pPr>
        <w:pStyle w:val="Heading4"/>
      </w:pPr>
      <w:r>
        <w:t xml:space="preserve">23. Проверка фонда</w:t>
      </w:r>
    </w:p>
    <w:p>
      <w:pPr>
        <w:pStyle w:val="FirstParagraph"/>
      </w:pPr>
      <w:r>
        <w:t xml:space="preserve">Основной режим проверки фонда выполняется в АРМ</w:t>
      </w:r>
      <w:r>
        <w:t xml:space="preserve"> </w:t>
      </w:r>
      <w:r>
        <w:rPr>
          <w:rStyle w:val="VerbatimChar"/>
        </w:rPr>
        <w:t xml:space="preserve">Комплектатор</w:t>
      </w:r>
      <w:r>
        <w:t xml:space="preserve">; текущие пользовательские сценарии описаны в разделах</w:t>
      </w:r>
      <w:r>
        <w:t xml:space="preserve"> </w:t>
      </w:r>
      <w:hyperlink r:id="rId177">
        <w:r>
          <w:rPr>
            <w:rStyle w:val="Hyperlink"/>
          </w:rPr>
          <w:t xml:space="preserve">Проверка фонда</w:t>
        </w:r>
      </w:hyperlink>
      <w:r>
        <w:t xml:space="preserve">,</w:t>
      </w:r>
      <w:r>
        <w:t xml:space="preserve"> </w:t>
      </w:r>
      <w:hyperlink r:id="rId178">
        <w:r>
          <w:rPr>
            <w:rStyle w:val="Hyperlink"/>
          </w:rPr>
          <w:t xml:space="preserve">Отчёт о проверке фонда</w:t>
        </w:r>
      </w:hyperlink>
      <w:r>
        <w:t xml:space="preserve"> </w:t>
      </w:r>
      <w:r>
        <w:t xml:space="preserve">и</w:t>
      </w:r>
      <w:r>
        <w:t xml:space="preserve"> </w:t>
      </w:r>
      <w:hyperlink r:id="rId179">
        <w:r>
          <w:rPr>
            <w:rStyle w:val="Hyperlink"/>
          </w:rPr>
          <w:t xml:space="preserve">Архив проверок фонда</w:t>
        </w:r>
      </w:hyperlink>
      <w:r>
        <w:t xml:space="preserve">. В АРМ</w:t>
      </w:r>
      <w:r>
        <w:t xml:space="preserve"> </w:t>
      </w:r>
      <w:r>
        <w:rPr>
          <w:rStyle w:val="VerbatimChar"/>
        </w:rPr>
        <w:t xml:space="preserve">Каталогизатор</w:t>
      </w:r>
      <w:r>
        <w:t xml:space="preserve"> </w:t>
      </w:r>
      <w:r>
        <w:t xml:space="preserve">проверка фонда рассматривается как дополнительный, менее удобный технологический вариант.</w:t>
      </w:r>
    </w:p>
    <w:p>
      <w:pPr>
        <w:pStyle w:val="BodyText"/>
      </w:pPr>
      <w:r>
        <w:t xml:space="preserve">Проверка фонда фиксирует экземпляры, которые физически присутствуют в проверяемом месте хранения, отделе или фонде. Она может выполняться в двух режимах:</w:t>
      </w:r>
    </w:p>
    <w:p>
      <w:pPr>
        <w:pStyle w:val="Compact"/>
        <w:numPr>
          <w:ilvl w:val="0"/>
          <w:numId w:val="1048"/>
        </w:numPr>
      </w:pPr>
      <w:r>
        <w:t xml:space="preserve">полная проверка - с архивированием исходных сведений экземпляра, пересчётом цены и заменой даты поступления на дату проверки;</w:t>
      </w:r>
    </w:p>
    <w:p>
      <w:pPr>
        <w:pStyle w:val="Compact"/>
        <w:numPr>
          <w:ilvl w:val="0"/>
          <w:numId w:val="1048"/>
        </w:numPr>
      </w:pPr>
      <w:r>
        <w:t xml:space="preserve">текущая проверка - без архивирования, пересчёта цены и замены даты поступления.</w:t>
      </w:r>
    </w:p>
    <w:p>
      <w:pPr>
        <w:pStyle w:val="FirstParagraph"/>
      </w:pPr>
      <w:r>
        <w:t xml:space="preserve">В обоих режимах работа является групповой обработкой. До запуска нужно определить проверяемый фонд, дату проверки и способ формирования списка экземпляров.</w:t>
      </w:r>
    </w:p>
    <w:bookmarkEnd w:id="180"/>
    <w:bookmarkStart w:id="181" w:name="что-изменяется-в-записи-при-проверке"/>
    <w:p>
      <w:pPr>
        <w:pStyle w:val="Heading4"/>
      </w:pPr>
      <w:r>
        <w:t xml:space="preserve">24. Что изменяется в записи при проверке</w:t>
      </w:r>
    </w:p>
    <w:p>
      <w:pPr>
        <w:pStyle w:val="FirstParagraph"/>
      </w:pPr>
      <w:r>
        <w:t xml:space="preserve">Для проверенных экземпляров в поле</w:t>
      </w:r>
      <w:r>
        <w:t xml:space="preserve"> </w:t>
      </w:r>
      <w:r>
        <w:rPr>
          <w:rStyle w:val="VerbatimChar"/>
        </w:rPr>
        <w:t xml:space="preserve">910</w:t>
      </w:r>
      <w:r>
        <w:t xml:space="preserve"> </w:t>
      </w:r>
      <w:r>
        <w:t xml:space="preserve">фиксируется дата проверки. Если найденный штрих-код или инвентарный номер физически находится не в том фонде, который указан в записи, формируется признак фактического проверяемого фонда.</w:t>
      </w:r>
    </w:p>
    <w:p>
      <w:pPr>
        <w:pStyle w:val="BodyText"/>
      </w:pPr>
      <w:r>
        <w:t xml:space="preserve">При полной проверке исходные сведения экземпляра переносятся в архивное поле, а цена пересчитывается по коэффициентам из</w:t>
      </w:r>
      <w:r>
        <w:t xml:space="preserve"> </w:t>
      </w:r>
      <w:r>
        <w:rPr>
          <w:rStyle w:val="VerbatimChar"/>
        </w:rPr>
        <w:t xml:space="preserve">IZC.MNU</w:t>
      </w:r>
      <w:r>
        <w:t xml:space="preserve"> </w:t>
      </w:r>
      <w:r>
        <w:t xml:space="preserve">относительно даты приобретения экземпляра на дату проверки. Перед полной проверкой нужно убедиться, что</w:t>
      </w:r>
      <w:r>
        <w:t xml:space="preserve"> </w:t>
      </w:r>
      <w:r>
        <w:rPr>
          <w:rStyle w:val="VerbatimChar"/>
        </w:rPr>
        <w:t xml:space="preserve">IZC.MNU</w:t>
      </w:r>
      <w:r>
        <w:t xml:space="preserve"> </w:t>
      </w:r>
      <w:r>
        <w:t xml:space="preserve">актуализирован для текущего года.</w:t>
      </w:r>
    </w:p>
    <w:p>
      <w:pPr>
        <w:pStyle w:val="BodyText"/>
      </w:pPr>
      <w:r>
        <w:t xml:space="preserve">Так как пересчитанные цены записываются в поля экземпляров, а общая цена в поле</w:t>
      </w:r>
      <w:r>
        <w:t xml:space="preserve"> </w:t>
      </w:r>
      <w:r>
        <w:rPr>
          <w:rStyle w:val="VerbatimChar"/>
        </w:rPr>
        <w:t xml:space="preserve">10</w:t>
      </w:r>
      <w:r>
        <w:t xml:space="preserve"> </w:t>
      </w:r>
      <w:r>
        <w:t xml:space="preserve">не корректируется, форматы просмотра и карточек должны учитывать различие между общей начальной ценой и пересчитанными индивидуальными ценами.</w:t>
      </w:r>
    </w:p>
    <w:p>
      <w:pPr>
        <w:pStyle w:val="BodyText"/>
      </w:pPr>
      <w:r>
        <w:t xml:space="preserve">После проверки формируется словарь</w:t>
      </w:r>
      <w:r>
        <w:t xml:space="preserve"> </w:t>
      </w:r>
      <w:r>
        <w:rPr>
          <w:rStyle w:val="VerbatimChar"/>
        </w:rPr>
        <w:t xml:space="preserve">Проверка фонда</w:t>
      </w:r>
      <w:r>
        <w:t xml:space="preserve">. В нём отражаются:</w:t>
      </w:r>
    </w:p>
    <w:p>
      <w:pPr>
        <w:pStyle w:val="Compact"/>
        <w:numPr>
          <w:ilvl w:val="0"/>
          <w:numId w:val="1049"/>
        </w:numPr>
      </w:pPr>
      <w:r>
        <w:t xml:space="preserve">экземпляры, прошедшие проверку на дату;</w:t>
      </w:r>
    </w:p>
    <w:p>
      <w:pPr>
        <w:pStyle w:val="Compact"/>
        <w:numPr>
          <w:ilvl w:val="0"/>
          <w:numId w:val="1049"/>
        </w:numPr>
      </w:pPr>
      <w:r>
        <w:t xml:space="preserve">экземпляры, не прошедшие проверку по местам хранения;</w:t>
      </w:r>
    </w:p>
    <w:p>
      <w:pPr>
        <w:pStyle w:val="Compact"/>
        <w:numPr>
          <w:ilvl w:val="0"/>
          <w:numId w:val="1049"/>
        </w:numPr>
      </w:pPr>
      <w:r>
        <w:t xml:space="preserve">экземпляры, найденные не на месте;</w:t>
      </w:r>
    </w:p>
    <w:p>
      <w:pPr>
        <w:pStyle w:val="Compact"/>
        <w:numPr>
          <w:ilvl w:val="0"/>
          <w:numId w:val="1049"/>
        </w:numPr>
      </w:pPr>
      <w:r>
        <w:t xml:space="preserve">непроверенные инвентарные номера и штрих-коды;</w:t>
      </w:r>
    </w:p>
    <w:p>
      <w:pPr>
        <w:pStyle w:val="Compact"/>
        <w:numPr>
          <w:ilvl w:val="0"/>
          <w:numId w:val="1049"/>
        </w:numPr>
      </w:pPr>
      <w:r>
        <w:t xml:space="preserve">проверенные инвентарные номера и штрих-коды.</w:t>
      </w:r>
    </w:p>
    <w:p>
      <w:pPr>
        <w:pStyle w:val="FirstParagraph"/>
      </w:pPr>
      <w:r>
        <w:t xml:space="preserve">По итогам проверки можно формировать акт, инвентарные списки, списки проверенных штрих-кодов и списки непроверенных штрих-кодов.</w:t>
      </w:r>
    </w:p>
    <w:bookmarkEnd w:id="181"/>
    <w:bookmarkStart w:id="182" w:name="подготовка-проверки-фонда"/>
    <w:p>
      <w:pPr>
        <w:pStyle w:val="Heading4"/>
      </w:pPr>
      <w:r>
        <w:t xml:space="preserve">25. Подготовка проверки фонда</w:t>
      </w:r>
    </w:p>
    <w:p>
      <w:pPr>
        <w:pStyle w:val="FirstParagraph"/>
      </w:pPr>
      <w:r>
        <w:t xml:space="preserve">Перед проверкой нужно включить формирование словаря</w:t>
      </w:r>
      <w:r>
        <w:t xml:space="preserve"> </w:t>
      </w:r>
      <w:r>
        <w:rPr>
          <w:rStyle w:val="VerbatimChar"/>
        </w:rPr>
        <w:t xml:space="preserve">Проверка фонда</w:t>
      </w:r>
      <w:r>
        <w:t xml:space="preserve"> </w:t>
      </w:r>
      <w:r>
        <w:t xml:space="preserve">и при необходимости перестроить словарь. Если требуется начать очередную проверку без признаков предыдущей, дата предыдущей проверки удаляется глобальной корректировкой по заданию</w:t>
      </w:r>
      <w:r>
        <w:t xml:space="preserve"> </w:t>
      </w:r>
      <w:r>
        <w:rPr>
          <w:rStyle w:val="VerbatimChar"/>
        </w:rPr>
        <w:t xml:space="preserve">DEl910S</w:t>
      </w:r>
      <w:r>
        <w:t xml:space="preserve"> </w:t>
      </w:r>
      <w:r>
        <w:t xml:space="preserve">для записей, отобранных по термину</w:t>
      </w:r>
      <w:r>
        <w:t xml:space="preserve"> </w:t>
      </w:r>
      <w:r>
        <w:rPr>
          <w:rStyle w:val="VerbatimChar"/>
        </w:rPr>
        <w:t xml:space="preserve">Проверены...</w:t>
      </w:r>
      <w:r>
        <w:t xml:space="preserve">.</w:t>
      </w:r>
    </w:p>
    <w:p>
      <w:pPr>
        <w:pStyle w:val="BodyText"/>
      </w:pPr>
      <w:r>
        <w:t xml:space="preserve">В настройке проверки задаются:</w:t>
      </w:r>
    </w:p>
    <w:p>
      <w:pPr>
        <w:pStyle w:val="Compact"/>
        <w:numPr>
          <w:ilvl w:val="0"/>
          <w:numId w:val="1050"/>
        </w:numPr>
      </w:pPr>
      <w:r>
        <w:t xml:space="preserve">режим проверки по словарю или списку штрих-кодов;</w:t>
      </w:r>
    </w:p>
    <w:p>
      <w:pPr>
        <w:pStyle w:val="Compact"/>
        <w:numPr>
          <w:ilvl w:val="0"/>
          <w:numId w:val="1050"/>
        </w:numPr>
      </w:pPr>
      <w:r>
        <w:t xml:space="preserve">дата проверки, если она должна отличаться от текущей или если проверка растянута во времени;</w:t>
      </w:r>
    </w:p>
    <w:p>
      <w:pPr>
        <w:pStyle w:val="Compact"/>
        <w:numPr>
          <w:ilvl w:val="0"/>
          <w:numId w:val="1050"/>
        </w:numPr>
      </w:pPr>
      <w:r>
        <w:t xml:space="preserve">проверяемый фонд; если он не задан, считается, что проверяется весь фонд.</w:t>
      </w:r>
    </w:p>
    <w:p>
      <w:pPr>
        <w:pStyle w:val="FirstParagraph"/>
      </w:pPr>
      <w:r>
        <w:t xml:space="preserve">Для групповой проверки в старой технологии Каталогизатора используется служебная запись с рабочим листом</w:t>
      </w:r>
      <w:r>
        <w:t xml:space="preserve"> </w:t>
      </w:r>
      <w:r>
        <w:rPr>
          <w:rStyle w:val="VerbatimChar"/>
        </w:rPr>
        <w:t xml:space="preserve">SZPRF</w:t>
      </w:r>
      <w:r>
        <w:t xml:space="preserve">. Она создаётся один раз и может использоваться повторно в следующих проверках. В неё вводятся штрих-коды или инвентарные номера проверяемых экземпляров.</w:t>
      </w:r>
    </w:p>
    <w:p>
      <w:pPr>
        <w:pStyle w:val="BodyText"/>
      </w:pPr>
      <w:r>
        <w:t xml:space="preserve">Список идентификаторов можно подготовить тремя способами:</w:t>
      </w:r>
    </w:p>
    <w:p>
      <w:pPr>
        <w:pStyle w:val="Compact"/>
        <w:numPr>
          <w:ilvl w:val="0"/>
          <w:numId w:val="1051"/>
        </w:numPr>
      </w:pPr>
      <w:r>
        <w:t xml:space="preserve">ввести штрих-коды или инвентарные номера вручную;</w:t>
      </w:r>
    </w:p>
    <w:p>
      <w:pPr>
        <w:pStyle w:val="Compact"/>
        <w:numPr>
          <w:ilvl w:val="0"/>
          <w:numId w:val="1051"/>
        </w:numPr>
      </w:pPr>
      <w:r>
        <w:t xml:space="preserve">загрузить текстовый файл, где каждый идентификатор расположен в отдельной строке;</w:t>
      </w:r>
    </w:p>
    <w:p>
      <w:pPr>
        <w:pStyle w:val="Compact"/>
        <w:numPr>
          <w:ilvl w:val="0"/>
          <w:numId w:val="1051"/>
        </w:numPr>
      </w:pPr>
      <w:r>
        <w:t xml:space="preserve">отметить идентификаторы в словаре.</w:t>
      </w:r>
    </w:p>
    <w:p>
      <w:pPr>
        <w:pStyle w:val="FirstParagraph"/>
      </w:pPr>
      <w:r>
        <w:t xml:space="preserve">Текстовый файл можно получить сканером или сформировать из печатного списка непроверенных экземпляров. При подготовке списка нужно учитывать ограничение на размер служебной записи.</w:t>
      </w:r>
    </w:p>
    <w:bookmarkEnd w:id="182"/>
    <w:bookmarkStart w:id="183" w:name="выполнение-и-контроль-проверки"/>
    <w:p>
      <w:pPr>
        <w:pStyle w:val="Heading4"/>
      </w:pPr>
      <w:r>
        <w:t xml:space="preserve">26. Выполнение и контроль проверки</w:t>
      </w:r>
    </w:p>
    <w:p>
      <w:pPr>
        <w:pStyle w:val="FirstParagraph"/>
      </w:pPr>
      <w:r>
        <w:t xml:space="preserve">После подготовки списка выполняется глобальная корректировка служебной записи</w:t>
      </w:r>
      <w:r>
        <w:t xml:space="preserve"> </w:t>
      </w:r>
      <w:r>
        <w:rPr>
          <w:rStyle w:val="VerbatimChar"/>
        </w:rPr>
        <w:t xml:space="preserve">SZPRF</w:t>
      </w:r>
      <w:r>
        <w:t xml:space="preserve">. Для полной проверки используется задание</w:t>
      </w:r>
      <w:r>
        <w:t xml:space="preserve"> </w:t>
      </w:r>
      <w:r>
        <w:rPr>
          <w:rStyle w:val="VerbatimChar"/>
        </w:rPr>
        <w:t xml:space="preserve">PROVFGR</w:t>
      </w:r>
      <w:r>
        <w:t xml:space="preserve">; для текущей проверки -</w:t>
      </w:r>
      <w:r>
        <w:t xml:space="preserve"> </w:t>
      </w:r>
      <w:r>
        <w:rPr>
          <w:rStyle w:val="VerbatimChar"/>
        </w:rPr>
        <w:t xml:space="preserve">PROVFGRT</w:t>
      </w:r>
      <w:r>
        <w:t xml:space="preserve">.</w:t>
      </w:r>
    </w:p>
    <w:p>
      <w:pPr>
        <w:pStyle w:val="BodyText"/>
      </w:pPr>
      <w:r>
        <w:t xml:space="preserve">После выполнения нужно проверить:</w:t>
      </w:r>
    </w:p>
    <w:p>
      <w:pPr>
        <w:pStyle w:val="Compact"/>
        <w:numPr>
          <w:ilvl w:val="0"/>
          <w:numId w:val="1052"/>
        </w:numPr>
      </w:pPr>
      <w:r>
        <w:t xml:space="preserve">сколько экземпляров получили дату проверки;</w:t>
      </w:r>
    </w:p>
    <w:p>
      <w:pPr>
        <w:pStyle w:val="Compact"/>
        <w:numPr>
          <w:ilvl w:val="0"/>
          <w:numId w:val="1052"/>
        </w:numPr>
      </w:pPr>
      <w:r>
        <w:t xml:space="preserve">какие экземпляры остались непроверенными;</w:t>
      </w:r>
    </w:p>
    <w:p>
      <w:pPr>
        <w:pStyle w:val="Compact"/>
        <w:numPr>
          <w:ilvl w:val="0"/>
          <w:numId w:val="1052"/>
        </w:numPr>
      </w:pPr>
      <w:r>
        <w:t xml:space="preserve">какие экземпляры отмечены как найденные не на месте;</w:t>
      </w:r>
    </w:p>
    <w:p>
      <w:pPr>
        <w:pStyle w:val="Compact"/>
        <w:numPr>
          <w:ilvl w:val="0"/>
          <w:numId w:val="1052"/>
        </w:numPr>
      </w:pPr>
      <w:r>
        <w:t xml:space="preserve">корректно ли сформированы архивные сведения при полной проверке;</w:t>
      </w:r>
    </w:p>
    <w:p>
      <w:pPr>
        <w:pStyle w:val="Compact"/>
        <w:numPr>
          <w:ilvl w:val="0"/>
          <w:numId w:val="1052"/>
        </w:numPr>
      </w:pPr>
      <w:r>
        <w:t xml:space="preserve">не возникли ли ошибки из-за неактуального</w:t>
      </w:r>
      <w:r>
        <w:t xml:space="preserve"> </w:t>
      </w:r>
      <w:r>
        <w:rPr>
          <w:rStyle w:val="VerbatimChar"/>
        </w:rPr>
        <w:t xml:space="preserve">IZC.MNU</w:t>
      </w:r>
      <w:r>
        <w:t xml:space="preserve">, отсутствующих штрих-кодов, дублирующих идентификаторов или неверного места хранения.</w:t>
      </w:r>
    </w:p>
    <w:p>
      <w:pPr>
        <w:pStyle w:val="FirstParagraph"/>
      </w:pPr>
      <w:r>
        <w:t xml:space="preserve">Итоговую оценку удобнее выполнять через отчёт проверки фонда в АРМ</w:t>
      </w:r>
      <w:r>
        <w:t xml:space="preserve"> </w:t>
      </w:r>
      <w:r>
        <w:rPr>
          <w:rStyle w:val="VerbatimChar"/>
        </w:rPr>
        <w:t xml:space="preserve">Комплектатор</w:t>
      </w:r>
      <w:r>
        <w:t xml:space="preserve">. Для корректного отбора по месту хранения в базе должен быть настроен поисковый индекс по месту хранения, а данные экземпляров в поле</w:t>
      </w:r>
      <w:r>
        <w:t xml:space="preserve"> </w:t>
      </w:r>
      <w:r>
        <w:rPr>
          <w:rStyle w:val="VerbatimChar"/>
        </w:rPr>
        <w:t xml:space="preserve">910</w:t>
      </w:r>
      <w:r>
        <w:t xml:space="preserve"> </w:t>
      </w:r>
      <w:r>
        <w:t xml:space="preserve">должны быть заполнены последовательно.</w:t>
      </w:r>
    </w:p>
    <w:bookmarkEnd w:id="183"/>
    <w:bookmarkEnd w:id="184"/>
    <w:bookmarkStart w:id="195" w:name="подготовка-выходных-документов"/>
    <w:p>
      <w:pPr>
        <w:pStyle w:val="Heading3"/>
      </w:pPr>
      <w:r>
        <w:t xml:space="preserve">Подготовка выходных документов</w:t>
      </w:r>
    </w:p>
    <w:p>
      <w:pPr>
        <w:pStyle w:val="FirstParagraph"/>
      </w:pPr>
      <w:r>
        <w:t xml:space="preserve">Этот раздел дополняет пользовательский сценарий</w:t>
      </w:r>
      <w:r>
        <w:t xml:space="preserve"> </w:t>
      </w:r>
      <w:hyperlink r:id="rId185">
        <w:r>
          <w:rPr>
            <w:rStyle w:val="Hyperlink"/>
          </w:rPr>
          <w:t xml:space="preserve">вывода записей на печать</w:t>
        </w:r>
      </w:hyperlink>
      <w:r>
        <w:t xml:space="preserve">. Здесь описана методика выбора выходного документа: когда использовать рулонную печать, каталожные карточки, табличные формы, библиографические списки и указатели.</w:t>
      </w:r>
    </w:p>
    <w:bookmarkStart w:id="186" w:name="виды-печати"/>
    <w:p>
      <w:pPr>
        <w:pStyle w:val="Heading4"/>
      </w:pPr>
      <w:r>
        <w:t xml:space="preserve">1. Виды печати</w:t>
      </w:r>
    </w:p>
    <w:p>
      <w:pPr>
        <w:pStyle w:val="FirstParagraph"/>
      </w:pPr>
      <w:r>
        <w:t xml:space="preserve">Каталогизатор может получать выходные документы несколькими способами:</w:t>
      </w:r>
    </w:p>
    <w:p>
      <w:pPr>
        <w:pStyle w:val="Compact"/>
        <w:numPr>
          <w:ilvl w:val="0"/>
          <w:numId w:val="1053"/>
        </w:numPr>
      </w:pPr>
      <w:r>
        <w:t xml:space="preserve">простая печать списком - несортированная последовательность выбранных документов в заданном формате;</w:t>
      </w:r>
    </w:p>
    <w:p>
      <w:pPr>
        <w:pStyle w:val="Compact"/>
        <w:numPr>
          <w:ilvl w:val="0"/>
          <w:numId w:val="1053"/>
        </w:numPr>
      </w:pPr>
      <w:r>
        <w:t xml:space="preserve">индивидуальная печать каталожных карточек;</w:t>
      </w:r>
    </w:p>
    <w:p>
      <w:pPr>
        <w:pStyle w:val="Compact"/>
        <w:numPr>
          <w:ilvl w:val="0"/>
          <w:numId w:val="1053"/>
        </w:numPr>
      </w:pPr>
      <w:r>
        <w:t xml:space="preserve">табличные формы, включая комплекты карточек, библиографические списки, указатели, инвентарные списки и отчётные документы.</w:t>
      </w:r>
    </w:p>
    <w:p>
      <w:pPr>
        <w:pStyle w:val="FirstParagraph"/>
      </w:pPr>
      <w:r>
        <w:t xml:space="preserve">Простая печать подходит для быстрого вывода найденных записей. При выборе оптимизированного формата запись выводится в виде библиографического описания, соответствующего её рабочему листу и виду документа.</w:t>
      </w:r>
    </w:p>
    <w:p>
      <w:pPr>
        <w:pStyle w:val="BodyText"/>
      </w:pPr>
      <w:r>
        <w:t xml:space="preserve">Каталожные карточки можно получать индивидуально для текущей записи или пакетно для группы записей. Индивидуальный режим удобен при завершении ввода или корректировки одной записи, когда нужно сразу проверить и напечатать комплект карточек. Пакетный режим удобен для партии поступлений, отобранных записей или подготовки карточек с учётом тиража.</w:t>
      </w:r>
    </w:p>
    <w:p>
      <w:pPr>
        <w:pStyle w:val="BodyText"/>
      </w:pPr>
      <w:r>
        <w:t xml:space="preserve">Табличные формы используются, когда важны отбор, сортировка и структура документа: инвентарные списки, библиографические указатели, систематические указатели, отчёты о проверке фонда, списки непоступивших номеров журналов и другие формы.</w:t>
      </w:r>
    </w:p>
    <w:bookmarkEnd w:id="186"/>
    <w:bookmarkStart w:id="187" w:name="управление-выводом-данных"/>
    <w:p>
      <w:pPr>
        <w:pStyle w:val="Heading4"/>
      </w:pPr>
      <w:r>
        <w:t xml:space="preserve">2. Управление выводом данных</w:t>
      </w:r>
    </w:p>
    <w:p>
      <w:pPr>
        <w:pStyle w:val="FirstParagraph"/>
      </w:pPr>
      <w:r>
        <w:t xml:space="preserve">Состав выходных документов зависит от данных записи, настроек системы и индивидуальных параметров на странице</w:t>
      </w:r>
      <w:r>
        <w:t xml:space="preserve"> </w:t>
      </w:r>
      <w:r>
        <w:rPr>
          <w:rStyle w:val="VerbatimChar"/>
        </w:rPr>
        <w:t xml:space="preserve">Технология</w:t>
      </w:r>
      <w:r>
        <w:t xml:space="preserve">. Часть требований можно задать для всех документов через настройку, а часть - для конкретной записи.</w:t>
      </w:r>
    </w:p>
    <w:p>
      <w:pPr>
        <w:pStyle w:val="BodyText"/>
      </w:pPr>
      <w:r>
        <w:t xml:space="preserve">Настраиваются, в частности:</w:t>
      </w:r>
    </w:p>
    <w:p>
      <w:pPr>
        <w:pStyle w:val="Compact"/>
        <w:numPr>
          <w:ilvl w:val="0"/>
          <w:numId w:val="1054"/>
        </w:numPr>
      </w:pPr>
      <w:r>
        <w:t xml:space="preserve">вывод цен в карточках и форматах просмотра;</w:t>
      </w:r>
    </w:p>
    <w:p>
      <w:pPr>
        <w:pStyle w:val="Compact"/>
        <w:numPr>
          <w:ilvl w:val="0"/>
          <w:numId w:val="1054"/>
        </w:numPr>
      </w:pPr>
      <w:r>
        <w:t xml:space="preserve">вывод сведений об экземплярах;</w:t>
      </w:r>
    </w:p>
    <w:p>
      <w:pPr>
        <w:pStyle w:val="Compact"/>
        <w:numPr>
          <w:ilvl w:val="0"/>
          <w:numId w:val="1054"/>
        </w:numPr>
      </w:pPr>
      <w:r>
        <w:t xml:space="preserve">печать инвентарных номеров на лицевой стороне карточки;</w:t>
      </w:r>
    </w:p>
    <w:p>
      <w:pPr>
        <w:pStyle w:val="Compact"/>
        <w:numPr>
          <w:ilvl w:val="0"/>
          <w:numId w:val="1054"/>
        </w:numPr>
      </w:pPr>
      <w:r>
        <w:t xml:space="preserve">вывод шифров мест хранения, отличающихся от основного;</w:t>
      </w:r>
    </w:p>
    <w:p>
      <w:pPr>
        <w:pStyle w:val="Compact"/>
        <w:numPr>
          <w:ilvl w:val="0"/>
          <w:numId w:val="1054"/>
        </w:numPr>
      </w:pPr>
      <w:r>
        <w:t xml:space="preserve">вывод ключевых слов;</w:t>
      </w:r>
    </w:p>
    <w:p>
      <w:pPr>
        <w:pStyle w:val="Compact"/>
        <w:numPr>
          <w:ilvl w:val="0"/>
          <w:numId w:val="1054"/>
        </w:numPr>
      </w:pPr>
      <w:r>
        <w:t xml:space="preserve">вывод аннотации;</w:t>
      </w:r>
    </w:p>
    <w:p>
      <w:pPr>
        <w:pStyle w:val="Compact"/>
        <w:numPr>
          <w:ilvl w:val="0"/>
          <w:numId w:val="1054"/>
        </w:numPr>
      </w:pPr>
      <w:r>
        <w:t xml:space="preserve">способ вывода индексов УДК, ББК, ГРНТИ и других классификаций;</w:t>
      </w:r>
    </w:p>
    <w:p>
      <w:pPr>
        <w:pStyle w:val="Compact"/>
        <w:numPr>
          <w:ilvl w:val="0"/>
          <w:numId w:val="1054"/>
        </w:numPr>
      </w:pPr>
      <w:r>
        <w:t xml:space="preserve">константа для содержания сборника или оглавления номера журнала;</w:t>
      </w:r>
    </w:p>
    <w:p>
      <w:pPr>
        <w:pStyle w:val="Compact"/>
        <w:numPr>
          <w:ilvl w:val="0"/>
          <w:numId w:val="1054"/>
        </w:numPr>
      </w:pPr>
      <w:r>
        <w:t xml:space="preserve">способ вывода общих примечаний;</w:t>
      </w:r>
    </w:p>
    <w:p>
      <w:pPr>
        <w:pStyle w:val="Compact"/>
        <w:numPr>
          <w:ilvl w:val="0"/>
          <w:numId w:val="1054"/>
        </w:numPr>
      </w:pPr>
      <w:r>
        <w:t xml:space="preserve">вывод сведений к заглавию в формуляре;</w:t>
      </w:r>
    </w:p>
    <w:p>
      <w:pPr>
        <w:pStyle w:val="Compact"/>
        <w:numPr>
          <w:ilvl w:val="0"/>
          <w:numId w:val="1054"/>
        </w:numPr>
      </w:pPr>
      <w:r>
        <w:t xml:space="preserve">укороченный вывод добавочных карточек.</w:t>
      </w:r>
    </w:p>
    <w:p>
      <w:pPr>
        <w:pStyle w:val="FirstParagraph"/>
      </w:pPr>
      <w:r>
        <w:t xml:space="preserve">Если в выходном макете обнаружена ошибка в библиографических данных, её нужно исправлять в записи электронного каталога, а не только в сформированном документе. Исправления в текстовом редакторе изменяют только текущий макет и не возвращаются в базу.</w:t>
      </w:r>
    </w:p>
    <w:bookmarkEnd w:id="187"/>
    <w:bookmarkStart w:id="188" w:name="основные-форматы-просмотра-и-печати"/>
    <w:p>
      <w:pPr>
        <w:pStyle w:val="Heading4"/>
      </w:pPr>
      <w:r>
        <w:t xml:space="preserve">3. Основные форматы просмотра и печати</w:t>
      </w:r>
    </w:p>
    <w:p>
      <w:pPr>
        <w:pStyle w:val="FirstParagraph"/>
      </w:pPr>
      <w:r>
        <w:t xml:space="preserve">Для разных видов записей используются разные оптимизированные форматы.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Назначение</w:t>
            </w:r>
          </w:p>
        </w:tc>
      </w:tr>
      <w:tr>
        <w:tc>
          <w:tcPr/>
          <w:p>
            <w:pPr>
              <w:pStyle w:val="Compact"/>
            </w:pPr>
            <w:r>
              <w:rPr>
                <w:rStyle w:val="VerbatimChar"/>
              </w:rPr>
              <w:t xml:space="preserve">KN</w:t>
            </w:r>
            <w:r>
              <w:t xml:space="preserve">,</w:t>
            </w:r>
            <w:r>
              <w:t xml:space="preserve"> </w:t>
            </w:r>
            <w:r>
              <w:rPr>
                <w:rStyle w:val="VerbatimChar"/>
              </w:rPr>
              <w:t xml:space="preserve">KN_H</w:t>
            </w:r>
          </w:p>
        </w:tc>
        <w:tc>
          <w:tcPr/>
          <w:p>
            <w:pPr>
              <w:pStyle w:val="Compact"/>
            </w:pPr>
            <w:r>
              <w:t xml:space="preserve">Библиографическое описание книги, включая содержание, аннотацию, внешние объекты и сведения об экземплярах</w:t>
            </w:r>
          </w:p>
        </w:tc>
      </w:tr>
      <w:tr>
        <w:tc>
          <w:tcPr/>
          <w:p>
            <w:pPr>
              <w:pStyle w:val="Compact"/>
            </w:pPr>
            <w:r>
              <w:rPr>
                <w:rStyle w:val="VerbatimChar"/>
              </w:rPr>
              <w:t xml:space="preserve">MN</w:t>
            </w:r>
            <w:r>
              <w:t xml:space="preserve">,</w:t>
            </w:r>
            <w:r>
              <w:t xml:space="preserve"> </w:t>
            </w:r>
            <w:r>
              <w:rPr>
                <w:rStyle w:val="VerbatimChar"/>
              </w:rPr>
              <w:t xml:space="preserve">MN_H</w:t>
            </w:r>
          </w:p>
        </w:tc>
        <w:tc>
          <w:tcPr/>
          <w:p>
            <w:pPr>
              <w:pStyle w:val="Compact"/>
            </w:pPr>
            <w:r>
              <w:t xml:space="preserve">Описание тома многотомного издания</w:t>
            </w:r>
          </w:p>
        </w:tc>
      </w:tr>
      <w:tr>
        <w:tc>
          <w:tcPr/>
          <w:p>
            <w:pPr>
              <w:pStyle w:val="Compact"/>
            </w:pPr>
            <w:r>
              <w:rPr>
                <w:rStyle w:val="VerbatimChar"/>
              </w:rPr>
              <w:t xml:space="preserve">ASP</w:t>
            </w:r>
            <w:r>
              <w:t xml:space="preserve">,</w:t>
            </w:r>
            <w:r>
              <w:t xml:space="preserve"> </w:t>
            </w:r>
            <w:r>
              <w:rPr>
                <w:rStyle w:val="VerbatimChar"/>
              </w:rPr>
              <w:t xml:space="preserve">ASP_H</w:t>
            </w:r>
          </w:p>
        </w:tc>
        <w:tc>
          <w:tcPr/>
          <w:p>
            <w:pPr>
              <w:pStyle w:val="Compact"/>
            </w:pPr>
            <w:r>
              <w:t xml:space="preserve">Аналитическое описание статьи</w:t>
            </w:r>
          </w:p>
        </w:tc>
      </w:tr>
      <w:tr>
        <w:tc>
          <w:tcPr/>
          <w:p>
            <w:pPr>
              <w:pStyle w:val="Compact"/>
            </w:pPr>
            <w:r>
              <w:rPr>
                <w:rStyle w:val="VerbatimChar"/>
              </w:rPr>
              <w:t xml:space="preserve">IBISKW</w:t>
            </w:r>
            <w:r>
              <w:t xml:space="preserve">,</w:t>
            </w:r>
            <w:r>
              <w:t xml:space="preserve"> </w:t>
            </w:r>
            <w:r>
              <w:rPr>
                <w:rStyle w:val="VerbatimChar"/>
              </w:rPr>
              <w:t xml:space="preserve">IBISKW_H</w:t>
            </w:r>
          </w:p>
        </w:tc>
        <w:tc>
          <w:tcPr/>
          <w:p>
            <w:pPr>
              <w:pStyle w:val="Compact"/>
            </w:pPr>
            <w:r>
              <w:t xml:space="preserve">Описание с дополнительным выводом списанных экземпляров</w:t>
            </w:r>
          </w:p>
        </w:tc>
      </w:tr>
      <w:tr>
        <w:tc>
          <w:tcPr/>
          <w:p>
            <w:pPr>
              <w:pStyle w:val="Compact"/>
            </w:pPr>
            <w:r>
              <w:rPr>
                <w:rStyle w:val="VerbatimChar"/>
              </w:rPr>
              <w:t xml:space="preserve">PERSW</w:t>
            </w:r>
            <w:r>
              <w:t xml:space="preserve">,</w:t>
            </w:r>
            <w:r>
              <w:t xml:space="preserve"> </w:t>
            </w:r>
            <w:r>
              <w:rPr>
                <w:rStyle w:val="VerbatimChar"/>
              </w:rPr>
              <w:t xml:space="preserve">PERSW_H</w:t>
            </w:r>
          </w:p>
        </w:tc>
        <w:tc>
          <w:tcPr/>
          <w:p>
            <w:pPr>
              <w:pStyle w:val="Compact"/>
            </w:pPr>
            <w:r>
              <w:t xml:space="preserve">Описание с полными сведениями о персоналиях</w:t>
            </w:r>
          </w:p>
        </w:tc>
      </w:tr>
      <w:tr>
        <w:tc>
          <w:tcPr/>
          <w:p>
            <w:pPr>
              <w:pStyle w:val="Compact"/>
            </w:pPr>
            <w:r>
              <w:rPr>
                <w:rStyle w:val="VerbatimChar"/>
              </w:rPr>
              <w:t xml:space="preserve">JW</w:t>
            </w:r>
            <w:r>
              <w:t xml:space="preserve">,</w:t>
            </w:r>
            <w:r>
              <w:t xml:space="preserve"> </w:t>
            </w:r>
            <w:r>
              <w:rPr>
                <w:rStyle w:val="VerbatimChar"/>
              </w:rPr>
              <w:t xml:space="preserve">JW_H</w:t>
            </w:r>
          </w:p>
        </w:tc>
        <w:tc>
          <w:tcPr/>
          <w:p>
            <w:pPr>
              <w:pStyle w:val="Compact"/>
            </w:pPr>
            <w:r>
              <w:t xml:space="preserve">Сводное описание журнала или другого сериального издания</w:t>
            </w:r>
          </w:p>
        </w:tc>
      </w:tr>
      <w:tr>
        <w:tc>
          <w:tcPr/>
          <w:p>
            <w:pPr>
              <w:pStyle w:val="Compact"/>
            </w:pPr>
            <w:r>
              <w:rPr>
                <w:rStyle w:val="VerbatimChar"/>
              </w:rPr>
              <w:t xml:space="preserve">NJW</w:t>
            </w:r>
            <w:r>
              <w:t xml:space="preserve">,</w:t>
            </w:r>
            <w:r>
              <w:t xml:space="preserve"> </w:t>
            </w:r>
            <w:r>
              <w:rPr>
                <w:rStyle w:val="VerbatimChar"/>
              </w:rPr>
              <w:t xml:space="preserve">NJW_H</w:t>
            </w:r>
          </w:p>
        </w:tc>
        <w:tc>
          <w:tcPr/>
          <w:p>
            <w:pPr>
              <w:pStyle w:val="Compact"/>
            </w:pPr>
            <w:r>
              <w:t xml:space="preserve">Описание отдельного номера или выпуска журнала</w:t>
            </w:r>
          </w:p>
        </w:tc>
      </w:tr>
      <w:tr>
        <w:tc>
          <w:tcPr/>
          <w:p>
            <w:pPr>
              <w:pStyle w:val="Compact"/>
            </w:pPr>
            <w:r>
              <w:rPr>
                <w:rStyle w:val="VerbatimChar"/>
              </w:rPr>
              <w:t xml:space="preserve">NJTPW</w:t>
            </w:r>
            <w:r>
              <w:t xml:space="preserve">,</w:t>
            </w:r>
            <w:r>
              <w:t xml:space="preserve"> </w:t>
            </w:r>
            <w:r>
              <w:rPr>
                <w:rStyle w:val="VerbatimChar"/>
              </w:rPr>
              <w:t xml:space="preserve">NJTPW_H</w:t>
            </w:r>
          </w:p>
        </w:tc>
        <w:tc>
          <w:tcPr/>
          <w:p>
            <w:pPr>
              <w:pStyle w:val="Compact"/>
            </w:pPr>
            <w:r>
              <w:t xml:space="preserve">Описание номера журнала с технологическими данными и списанными экземплярами</w:t>
            </w:r>
          </w:p>
        </w:tc>
      </w:tr>
      <w:tr>
        <w:tc>
          <w:tcPr/>
          <w:p>
            <w:pPr>
              <w:pStyle w:val="Compact"/>
            </w:pPr>
            <w:r>
              <w:rPr>
                <w:rStyle w:val="VerbatimChar"/>
              </w:rPr>
              <w:t xml:space="preserve">INFOW</w:t>
            </w:r>
            <w:r>
              <w:t xml:space="preserve">,</w:t>
            </w:r>
            <w:r>
              <w:t xml:space="preserve"> </w:t>
            </w:r>
            <w:r>
              <w:rPr>
                <w:rStyle w:val="VerbatimChar"/>
              </w:rPr>
              <w:t xml:space="preserve">INFOW_H</w:t>
            </w:r>
          </w:p>
        </w:tc>
        <w:tc>
          <w:tcPr/>
          <w:p>
            <w:pPr>
              <w:pStyle w:val="Compact"/>
            </w:pPr>
            <w:r>
              <w:t xml:space="preserve">Техническое представление вида</w:t>
            </w:r>
            <w:r>
              <w:t xml:space="preserve"> </w:t>
            </w:r>
            <w:r>
              <w:rPr>
                <w:rStyle w:val="VerbatimChar"/>
              </w:rPr>
              <w:t xml:space="preserve">элемент данных - значение</w:t>
            </w:r>
          </w:p>
        </w:tc>
      </w:tr>
      <w:tr>
        <w:tc>
          <w:tcPr/>
          <w:p>
            <w:pPr>
              <w:pStyle w:val="Compact"/>
            </w:pPr>
            <w:r>
              <w:rPr>
                <w:rStyle w:val="VerbatimChar"/>
              </w:rPr>
              <w:t xml:space="preserve">UMARCW</w:t>
            </w:r>
            <w:r>
              <w:t xml:space="preserve">,</w:t>
            </w:r>
            <w:r>
              <w:t xml:space="preserve"> </w:t>
            </w:r>
            <w:r>
              <w:rPr>
                <w:rStyle w:val="VerbatimChar"/>
              </w:rPr>
              <w:t xml:space="preserve">USMRCW</w:t>
            </w:r>
          </w:p>
        </w:tc>
        <w:tc>
          <w:tcPr/>
          <w:p>
            <w:pPr>
              <w:pStyle w:val="Compact"/>
            </w:pPr>
            <w:r>
              <w:t xml:space="preserve">Представление в коммуникативных форматах с метками полей и подполей</w:t>
            </w:r>
          </w:p>
        </w:tc>
      </w:tr>
      <w:tr>
        <w:tc>
          <w:tcPr/>
          <w:p>
            <w:pPr>
              <w:pStyle w:val="Compact"/>
            </w:pPr>
            <w:r>
              <w:rPr>
                <w:rStyle w:val="VerbatimChar"/>
              </w:rPr>
              <w:t xml:space="preserve">KKKWP</w:t>
            </w:r>
            <w:r>
              <w:t xml:space="preserve">,</w:t>
            </w:r>
            <w:r>
              <w:t xml:space="preserve"> </w:t>
            </w:r>
            <w:r>
              <w:rPr>
                <w:rStyle w:val="VerbatimChar"/>
              </w:rPr>
              <w:t xml:space="preserve">KKKWP_H</w:t>
            </w:r>
          </w:p>
        </w:tc>
        <w:tc>
          <w:tcPr/>
          <w:p>
            <w:pPr>
              <w:pStyle w:val="Compact"/>
            </w:pPr>
            <w:r>
              <w:t xml:space="preserve">Контрольный просмотр комплекта каталожных карточек</w:t>
            </w:r>
          </w:p>
        </w:tc>
      </w:tr>
    </w:tbl>
    <w:p>
      <w:pPr>
        <w:pStyle w:val="BodyText"/>
      </w:pPr>
      <w:r>
        <w:t xml:space="preserve">Перед печатью каталожных карточек рекомендуется просмотреть запись в формате</w:t>
      </w:r>
      <w:r>
        <w:t xml:space="preserve"> </w:t>
      </w:r>
      <w:r>
        <w:rPr>
          <w:rStyle w:val="VerbatimChar"/>
        </w:rPr>
        <w:t xml:space="preserve">KKKWP</w:t>
      </w:r>
      <w:r>
        <w:t xml:space="preserve">. Это помогает заранее увидеть, какие основные, добавочные и ссылочные карточки будут сформированы.</w:t>
      </w:r>
    </w:p>
    <w:bookmarkEnd w:id="188"/>
    <w:bookmarkStart w:id="189" w:name="X06035174598300ff7c2ff66ead747ee2d40c890"/>
    <w:p>
      <w:pPr>
        <w:pStyle w:val="Heading4"/>
      </w:pPr>
      <w:r>
        <w:t xml:space="preserve">4. Индивидуальная печать каталожных карточек</w:t>
      </w:r>
    </w:p>
    <w:p>
      <w:pPr>
        <w:pStyle w:val="FirstParagraph"/>
      </w:pPr>
      <w:r>
        <w:t xml:space="preserve">Индивидуальная печать карточек выполняется для текущего документа после ввода или корректировки. Основная карточка формируется первой и безусловно. Остальные виды карточек формируются по выбранному виду карточки и по данным записи.</w:t>
      </w:r>
    </w:p>
    <w:p>
      <w:pPr>
        <w:pStyle w:val="BodyText"/>
      </w:pPr>
      <w:r>
        <w:t xml:space="preserve">В индивидуальном режиме можно получить:</w:t>
      </w:r>
    </w:p>
    <w:p>
      <w:pPr>
        <w:pStyle w:val="Compact"/>
        <w:numPr>
          <w:ilvl w:val="0"/>
          <w:numId w:val="1055"/>
        </w:numPr>
      </w:pPr>
      <w:r>
        <w:t xml:space="preserve">основную карточку;</w:t>
      </w:r>
    </w:p>
    <w:p>
      <w:pPr>
        <w:pStyle w:val="Compact"/>
        <w:numPr>
          <w:ilvl w:val="0"/>
          <w:numId w:val="1055"/>
        </w:numPr>
      </w:pPr>
      <w:r>
        <w:t xml:space="preserve">карточку оборота;</w:t>
      </w:r>
    </w:p>
    <w:p>
      <w:pPr>
        <w:pStyle w:val="Compact"/>
        <w:numPr>
          <w:ilvl w:val="0"/>
          <w:numId w:val="1055"/>
        </w:numPr>
      </w:pPr>
      <w:r>
        <w:t xml:space="preserve">добавочные карточки;</w:t>
      </w:r>
    </w:p>
    <w:p>
      <w:pPr>
        <w:pStyle w:val="Compact"/>
        <w:numPr>
          <w:ilvl w:val="0"/>
          <w:numId w:val="1055"/>
        </w:numPr>
      </w:pPr>
      <w:r>
        <w:t xml:space="preserve">ссылочные карточки;</w:t>
      </w:r>
    </w:p>
    <w:p>
      <w:pPr>
        <w:pStyle w:val="Compact"/>
        <w:numPr>
          <w:ilvl w:val="0"/>
          <w:numId w:val="1055"/>
        </w:numPr>
      </w:pPr>
      <w:r>
        <w:t xml:space="preserve">карточки для систематического каталога;</w:t>
      </w:r>
    </w:p>
    <w:p>
      <w:pPr>
        <w:pStyle w:val="Compact"/>
        <w:numPr>
          <w:ilvl w:val="0"/>
          <w:numId w:val="1055"/>
        </w:numPr>
      </w:pPr>
      <w:r>
        <w:t xml:space="preserve">карточки для топографического каталога;</w:t>
      </w:r>
    </w:p>
    <w:p>
      <w:pPr>
        <w:pStyle w:val="Compact"/>
        <w:numPr>
          <w:ilvl w:val="0"/>
          <w:numId w:val="1055"/>
        </w:numPr>
      </w:pPr>
      <w:r>
        <w:t xml:space="preserve">карточки продолжения.</w:t>
      </w:r>
    </w:p>
    <w:p>
      <w:pPr>
        <w:pStyle w:val="FirstParagraph"/>
      </w:pPr>
      <w:r>
        <w:t xml:space="preserve">Если для выбранного вида карточки нет данных, макет может быть пустым. Например, добавочная или ссылочная карточка формируется только при наличии соответствующих данных и признаков в записи.</w:t>
      </w:r>
    </w:p>
    <w:p>
      <w:pPr>
        <w:pStyle w:val="BodyText"/>
      </w:pPr>
      <w:r>
        <w:t xml:space="preserve">Макет карточки можно отредактировать перед печатью средствами текстового редактора: изменить текст, расположение элементов, шрифт, стиль, размеры карточки и поля. Такие изменения относятся только к сформированному макету.</w:t>
      </w:r>
    </w:p>
    <w:bookmarkEnd w:id="189"/>
    <w:bookmarkStart w:id="190" w:name="комплект-каталожных-карточек"/>
    <w:p>
      <w:pPr>
        <w:pStyle w:val="Heading4"/>
      </w:pPr>
      <w:r>
        <w:t xml:space="preserve">5. Комплект каталожных карточек</w:t>
      </w:r>
    </w:p>
    <w:p>
      <w:pPr>
        <w:pStyle w:val="FirstParagraph"/>
      </w:pPr>
      <w:r>
        <w:t xml:space="preserve">Комплект карточек для одной записи обычно включает:</w:t>
      </w:r>
    </w:p>
    <w:p>
      <w:pPr>
        <w:pStyle w:val="Compact"/>
        <w:numPr>
          <w:ilvl w:val="0"/>
          <w:numId w:val="1056"/>
        </w:numPr>
      </w:pPr>
      <w:r>
        <w:t xml:space="preserve">одну основную карточку и одну карточку оборота;</w:t>
      </w:r>
    </w:p>
    <w:p>
      <w:pPr>
        <w:pStyle w:val="Compact"/>
        <w:numPr>
          <w:ilvl w:val="0"/>
          <w:numId w:val="1056"/>
        </w:numPr>
      </w:pPr>
      <w:r>
        <w:t xml:space="preserve">карточки для топографического каталога по местам хранения;</w:t>
      </w:r>
    </w:p>
    <w:p>
      <w:pPr>
        <w:pStyle w:val="Compact"/>
        <w:numPr>
          <w:ilvl w:val="0"/>
          <w:numId w:val="1056"/>
        </w:numPr>
      </w:pPr>
      <w:r>
        <w:t xml:space="preserve">книжные формуляры по местам хранения;</w:t>
      </w:r>
    </w:p>
    <w:p>
      <w:pPr>
        <w:pStyle w:val="Compact"/>
        <w:numPr>
          <w:ilvl w:val="0"/>
          <w:numId w:val="1056"/>
        </w:numPr>
      </w:pPr>
      <w:r>
        <w:t xml:space="preserve">карточки для систематического каталога по классификационным индексам;</w:t>
      </w:r>
    </w:p>
    <w:p>
      <w:pPr>
        <w:pStyle w:val="Compact"/>
        <w:numPr>
          <w:ilvl w:val="0"/>
          <w:numId w:val="1056"/>
        </w:numPr>
      </w:pPr>
      <w:r>
        <w:t xml:space="preserve">добавочные карточки, если они требуются;</w:t>
      </w:r>
    </w:p>
    <w:p>
      <w:pPr>
        <w:pStyle w:val="Compact"/>
        <w:numPr>
          <w:ilvl w:val="0"/>
          <w:numId w:val="1056"/>
        </w:numPr>
      </w:pPr>
      <w:r>
        <w:t xml:space="preserve">ссылочные карточки, если они требуются.</w:t>
      </w:r>
    </w:p>
    <w:p>
      <w:pPr>
        <w:pStyle w:val="FirstParagraph"/>
      </w:pPr>
      <w:r>
        <w:t xml:space="preserve">Добавочные карточки могут формироваться автоматически для источника переводного издания, последующих статей сборника и дополнительных заголовков. Для других лиц, коллективов, персоналий, заглавий, серий, разночтений, параллельных заглавий и рубрик подготовка карточек зависит от введённых в записи ролей и признаков.</w:t>
      </w:r>
    </w:p>
    <w:bookmarkEnd w:id="190"/>
    <w:bookmarkStart w:id="191" w:name="табличные-формы"/>
    <w:p>
      <w:pPr>
        <w:pStyle w:val="Heading4"/>
      </w:pPr>
      <w:r>
        <w:t xml:space="preserve">6. Табличные формы</w:t>
      </w:r>
    </w:p>
    <w:p>
      <w:pPr>
        <w:pStyle w:val="FirstParagraph"/>
      </w:pPr>
      <w:r>
        <w:t xml:space="preserve">Табличные формы формируются по диапазону MFN или по результатам поиска. Для выходного документа выбирается имя формы, носитель вывода и при необходимости заголовки. Результат формируется как документ</w:t>
      </w:r>
      <w:r>
        <w:t xml:space="preserve"> </w:t>
      </w:r>
      <w:r>
        <w:rPr>
          <w:rStyle w:val="VerbatimChar"/>
        </w:rPr>
        <w:t xml:space="preserve">RTF</w:t>
      </w:r>
      <w:r>
        <w:t xml:space="preserve">, который можно открыть и при необходимости доработать в текстовом редакторе.</w:t>
      </w:r>
    </w:p>
    <w:p>
      <w:pPr>
        <w:pStyle w:val="BodyText"/>
      </w:pPr>
      <w:r>
        <w:t xml:space="preserve">Для отбора записей часто используются:</w:t>
      </w:r>
    </w:p>
    <w:p>
      <w:pPr>
        <w:pStyle w:val="Compact"/>
        <w:numPr>
          <w:ilvl w:val="0"/>
          <w:numId w:val="1057"/>
        </w:numPr>
      </w:pPr>
      <w:r>
        <w:t xml:space="preserve">дата поступления, если нужно получить список поступлений за период;</w:t>
      </w:r>
    </w:p>
    <w:p>
      <w:pPr>
        <w:pStyle w:val="Compact"/>
        <w:numPr>
          <w:ilvl w:val="0"/>
          <w:numId w:val="1057"/>
        </w:numPr>
      </w:pPr>
      <w:r>
        <w:t xml:space="preserve">номер КСУ, если нужно получить документы по партии;</w:t>
      </w:r>
    </w:p>
    <w:p>
      <w:pPr>
        <w:pStyle w:val="Compact"/>
        <w:numPr>
          <w:ilvl w:val="0"/>
          <w:numId w:val="1057"/>
        </w:numPr>
      </w:pPr>
      <w:r>
        <w:t xml:space="preserve">термины словаря</w:t>
      </w:r>
      <w:r>
        <w:t xml:space="preserve"> </w:t>
      </w:r>
      <w:r>
        <w:rPr>
          <w:rStyle w:val="VerbatimChar"/>
        </w:rPr>
        <w:t xml:space="preserve">Проверка фонда</w:t>
      </w:r>
      <w:r>
        <w:t xml:space="preserve">, если формируются документы по результатам проверки фонда;</w:t>
      </w:r>
    </w:p>
    <w:p>
      <w:pPr>
        <w:pStyle w:val="Compact"/>
        <w:numPr>
          <w:ilvl w:val="0"/>
          <w:numId w:val="1057"/>
        </w:numPr>
      </w:pPr>
      <w:r>
        <w:t xml:space="preserve">поисковые признаки автора, заглавия, предметной рубрики, индекса или места хранения.</w:t>
      </w:r>
    </w:p>
    <w:bookmarkEnd w:id="191"/>
    <w:bookmarkStart w:id="192" w:name="библиографические-списки-и-указатели"/>
    <w:p>
      <w:pPr>
        <w:pStyle w:val="Heading4"/>
      </w:pPr>
      <w:r>
        <w:t xml:space="preserve">7. Библиографические списки и указатели</w:t>
      </w:r>
    </w:p>
    <w:p>
      <w:pPr>
        <w:pStyle w:val="FirstParagraph"/>
      </w:pPr>
      <w:r>
        <w:t xml:space="preserve">Библиографические списки и указатели строятся не только по отбору записей, но и по правилам сортировки.</w:t>
      </w:r>
    </w:p>
    <w:p>
      <w:pPr>
        <w:pStyle w:val="BodyText"/>
      </w:pPr>
      <w:r>
        <w:t xml:space="preserve">Основные формы: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Форма</w:t>
            </w:r>
          </w:p>
        </w:tc>
        <w:tc>
          <w:tcPr/>
          <w:p>
            <w:pPr>
              <w:pStyle w:val="Compact"/>
            </w:pPr>
            <w:r>
              <w:t xml:space="preserve">Назначение</w:t>
            </w:r>
          </w:p>
        </w:tc>
        <w:tc>
          <w:tcPr/>
          <w:p>
            <w:pPr>
              <w:pStyle w:val="Compact"/>
            </w:pPr>
            <w:r>
              <w:t xml:space="preserve">Сортировка</w:t>
            </w:r>
          </w:p>
        </w:tc>
      </w:tr>
      <w:tr>
        <w:tc>
          <w:tcPr/>
          <w:p>
            <w:pPr>
              <w:pStyle w:val="Compact"/>
            </w:pPr>
            <w:r>
              <w:rPr>
                <w:rStyle w:val="VerbatimChar"/>
              </w:rPr>
              <w:t xml:space="preserve">TABBUW</w:t>
            </w:r>
          </w:p>
        </w:tc>
        <w:tc>
          <w:tcPr/>
          <w:p>
            <w:pPr>
              <w:pStyle w:val="Compact"/>
            </w:pPr>
            <w:r>
              <w:t xml:space="preserve">Библиографический указатель по предметным рубрикам</w:t>
            </w:r>
          </w:p>
        </w:tc>
        <w:tc>
          <w:tcPr/>
          <w:p>
            <w:pPr>
              <w:pStyle w:val="Compact"/>
            </w:pPr>
            <w:r>
              <w:t xml:space="preserve">Первая предметная рубрика, затем автор или заглавие</w:t>
            </w:r>
          </w:p>
        </w:tc>
      </w:tr>
      <w:tr>
        <w:tc>
          <w:tcPr/>
          <w:p>
            <w:pPr>
              <w:pStyle w:val="Compact"/>
            </w:pPr>
            <w:r>
              <w:rPr>
                <w:rStyle w:val="VerbatimChar"/>
              </w:rPr>
              <w:t xml:space="preserve">TABBAW</w:t>
            </w:r>
          </w:p>
        </w:tc>
        <w:tc>
          <w:tcPr/>
          <w:p>
            <w:pPr>
              <w:pStyle w:val="Compact"/>
            </w:pPr>
            <w:r>
              <w:t xml:space="preserve">Библиографический указатель по автору и/или заглавию</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TABBNW</w:t>
            </w:r>
          </w:p>
        </w:tc>
        <w:tc>
          <w:tcPr/>
          <w:p>
            <w:pPr>
              <w:pStyle w:val="Compact"/>
            </w:pPr>
            <w:r>
              <w:t xml:space="preserve">Указатель новых поступлений</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TABSUW</w:t>
            </w:r>
          </w:p>
        </w:tc>
        <w:tc>
          <w:tcPr/>
          <w:p>
            <w:pPr>
              <w:pStyle w:val="Compact"/>
            </w:pPr>
            <w:r>
              <w:t xml:space="preserve">Систематический указатель по всем индексам, включая статьи из оглавления</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w:t>
            </w:r>
          </w:p>
        </w:tc>
        <w:tc>
          <w:tcPr/>
          <w:p>
            <w:pPr>
              <w:pStyle w:val="Compact"/>
            </w:pPr>
            <w:r>
              <w:t xml:space="preserve">Систематический указатель только по основным записям со ссылками и указателями</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TABSU0P</w:t>
            </w:r>
          </w:p>
        </w:tc>
        <w:tc>
          <w:tcPr/>
          <w:p>
            <w:pPr>
              <w:pStyle w:val="Compact"/>
            </w:pPr>
            <w:r>
              <w:t xml:space="preserve">Вариант систематического указателя с персоналиями</w:t>
            </w:r>
          </w:p>
        </w:tc>
        <w:tc>
          <w:tcPr/>
          <w:p>
            <w:pPr>
              <w:pStyle w:val="Compact"/>
            </w:pPr>
            <w:r>
              <w:t xml:space="preserve">Индексы, персоналии, автор или заглавие</w:t>
            </w:r>
          </w:p>
        </w:tc>
      </w:tr>
    </w:tbl>
    <w:p>
      <w:pPr>
        <w:pStyle w:val="BodyText"/>
      </w:pPr>
      <w:r>
        <w:t xml:space="preserve">Для систематических указателей должны быть подготовлены справочники индексов: иерархический справочник ввода и справочник вывода. Иерархический справочник помогает систематизатору выбрать индекс, а справочник вывода задаёт текст расшифровки в выходной форме и словаре.</w:t>
      </w:r>
    </w:p>
    <w:p>
      <w:pPr>
        <w:pStyle w:val="BodyText"/>
      </w:pPr>
      <w:r>
        <w:t xml:space="preserve">Сортировка указателей учитывает разметку заглавия: можно исключать фрагмент из ключа сортировки или заменять часть текста другим значением, например для числительных.</w:t>
      </w:r>
    </w:p>
    <w:bookmarkEnd w:id="192"/>
    <w:bookmarkStart w:id="193" w:name="пакетная-печать-карточек"/>
    <w:p>
      <w:pPr>
        <w:pStyle w:val="Heading4"/>
      </w:pPr>
      <w:r>
        <w:t xml:space="preserve">8. Пакетная печать карточек</w:t>
      </w:r>
    </w:p>
    <w:p>
      <w:pPr>
        <w:pStyle w:val="FirstParagraph"/>
      </w:pPr>
      <w:r>
        <w:t xml:space="preserve">В пакетном режиме карточки можно получить для одной или нескольких записей. Система подбирает комплект карточек для каждой записи.</w:t>
      </w:r>
    </w:p>
    <w:p>
      <w:pPr>
        <w:pStyle w:val="BodyText"/>
      </w:pPr>
      <w:r>
        <w:t xml:space="preserve">Доступны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!!KK_K</w:t>
            </w:r>
          </w:p>
        </w:tc>
        <w:tc>
          <w:tcPr/>
          <w:p>
            <w:pPr>
              <w:pStyle w:val="Compact"/>
            </w:pPr>
            <w:r>
              <w:t xml:space="preserve">Комплект карточек: основная, добавочные, ссылочные, систематический и топографический каталоги</w:t>
            </w:r>
          </w:p>
        </w:tc>
      </w:tr>
      <w:tr>
        <w:tc>
          <w:tcPr/>
          <w:p>
            <w:pPr>
              <w:pStyle w:val="Compact"/>
            </w:pPr>
            <w:r>
              <w:rPr>
                <w:rStyle w:val="VerbatimChar"/>
              </w:rPr>
              <w:t xml:space="preserve">!!KK_O</w:t>
            </w:r>
          </w:p>
        </w:tc>
        <w:tc>
          <w:tcPr/>
          <w:p>
            <w:pPr>
              <w:pStyle w:val="Compact"/>
            </w:pPr>
            <w:r>
              <w:t xml:space="preserve">Основная карточка</w:t>
            </w:r>
          </w:p>
        </w:tc>
      </w:tr>
      <w:tr>
        <w:tc>
          <w:tcPr/>
          <w:p>
            <w:pPr>
              <w:pStyle w:val="Compact"/>
            </w:pPr>
            <w:r>
              <w:rPr>
                <w:rStyle w:val="VerbatimChar"/>
              </w:rPr>
              <w:t xml:space="preserve">!!KK_D</w:t>
            </w:r>
          </w:p>
        </w:tc>
        <w:tc>
          <w:tcPr/>
          <w:p>
            <w:pPr>
              <w:pStyle w:val="Compact"/>
            </w:pPr>
            <w:r>
              <w:t xml:space="preserve">Комплект добавочных карточек</w:t>
            </w:r>
          </w:p>
        </w:tc>
      </w:tr>
      <w:tr>
        <w:tc>
          <w:tcPr/>
          <w:p>
            <w:pPr>
              <w:pStyle w:val="Compact"/>
            </w:pPr>
            <w:r>
              <w:rPr>
                <w:rStyle w:val="VerbatimChar"/>
              </w:rPr>
              <w:t xml:space="preserve">!!KK_S</w:t>
            </w:r>
          </w:p>
        </w:tc>
        <w:tc>
          <w:tcPr/>
          <w:p>
            <w:pPr>
              <w:pStyle w:val="Compact"/>
            </w:pPr>
            <w:r>
              <w:t xml:space="preserve">Ссылочные карточки</w:t>
            </w:r>
          </w:p>
        </w:tc>
      </w:tr>
      <w:tr>
        <w:tc>
          <w:tcPr/>
          <w:p>
            <w:pPr>
              <w:pStyle w:val="Compact"/>
            </w:pPr>
            <w:r>
              <w:rPr>
                <w:rStyle w:val="VerbatimChar"/>
              </w:rPr>
              <w:t xml:space="preserve">!!KK_Sk</w:t>
            </w:r>
          </w:p>
        </w:tc>
        <w:tc>
          <w:tcPr/>
          <w:p>
            <w:pPr>
              <w:pStyle w:val="Compact"/>
            </w:pPr>
            <w:r>
              <w:t xml:space="preserve">Карточки для систематического каталога</w:t>
            </w:r>
          </w:p>
        </w:tc>
      </w:tr>
      <w:tr>
        <w:tc>
          <w:tcPr/>
          <w:p>
            <w:pPr>
              <w:pStyle w:val="Compact"/>
            </w:pPr>
            <w:r>
              <w:rPr>
                <w:rStyle w:val="VerbatimChar"/>
              </w:rPr>
              <w:t xml:space="preserve">!!KK_Tk</w:t>
            </w:r>
          </w:p>
        </w:tc>
        <w:tc>
          <w:tcPr/>
          <w:p>
            <w:pPr>
              <w:pStyle w:val="Compact"/>
            </w:pPr>
            <w:r>
              <w:t xml:space="preserve">Карточки для топографического каталога</w:t>
            </w:r>
          </w:p>
        </w:tc>
      </w:tr>
      <w:tr>
        <w:tc>
          <w:tcPr/>
          <w:p>
            <w:pPr>
              <w:pStyle w:val="Compact"/>
            </w:pPr>
            <w:r>
              <w:rPr>
                <w:rStyle w:val="VerbatimChar"/>
              </w:rPr>
              <w:t xml:space="preserve">!!KK_ob</w:t>
            </w:r>
          </w:p>
        </w:tc>
        <w:tc>
          <w:tcPr/>
          <w:p>
            <w:pPr>
              <w:pStyle w:val="Compact"/>
            </w:pPr>
            <w:r>
              <w:t xml:space="preserve">Оборот основной карточки</w:t>
            </w:r>
          </w:p>
        </w:tc>
      </w:tr>
      <w:tr>
        <w:tc>
          <w:tcPr/>
          <w:p>
            <w:pPr>
              <w:pStyle w:val="Compact"/>
            </w:pPr>
            <w:r>
              <w:rPr>
                <w:rStyle w:val="VerbatimChar"/>
              </w:rPr>
              <w:t xml:space="preserve">!!KK_obmh</w:t>
            </w:r>
          </w:p>
        </w:tc>
        <w:tc>
          <w:tcPr/>
          <w:p>
            <w:pPr>
              <w:pStyle w:val="Compact"/>
            </w:pPr>
            <w:r>
              <w:t xml:space="preserve">Оборот основной карточки по месту хранения</w:t>
            </w:r>
          </w:p>
        </w:tc>
      </w:tr>
      <w:tr>
        <w:tc>
          <w:tcPr/>
          <w:p>
            <w:pPr>
              <w:pStyle w:val="Compact"/>
            </w:pPr>
            <w:r>
              <w:rPr>
                <w:rStyle w:val="VerbatimChar"/>
              </w:rPr>
              <w:t xml:space="preserve">!!KKF</w:t>
            </w:r>
          </w:p>
        </w:tc>
        <w:tc>
          <w:tcPr/>
          <w:p>
            <w:pPr>
              <w:pStyle w:val="Compact"/>
            </w:pPr>
            <w:r>
              <w:t xml:space="preserve">Формуляры для книг и периодических изданий</w:t>
            </w:r>
          </w:p>
        </w:tc>
      </w:tr>
      <w:tr>
        <w:tc>
          <w:tcPr/>
          <w:p>
            <w:pPr>
              <w:pStyle w:val="Compact"/>
            </w:pPr>
            <w:r>
              <w:rPr>
                <w:rStyle w:val="VerbatimChar"/>
              </w:rPr>
              <w:t xml:space="preserve">!!KK</w:t>
            </w:r>
          </w:p>
        </w:tc>
        <w:tc>
          <w:tcPr/>
          <w:p>
            <w:pPr>
              <w:pStyle w:val="Compact"/>
            </w:pPr>
            <w:r>
              <w:t xml:space="preserve">Устаревший вариант комплекта карточек</w:t>
            </w:r>
          </w:p>
        </w:tc>
      </w:tr>
    </w:tbl>
    <w:p>
      <w:pPr>
        <w:pStyle w:val="BodyText"/>
      </w:pPr>
      <w:r>
        <w:t xml:space="preserve">В пакетном режиме не формируются карточки продолжения. Зато можно учитывать тираж карточек. Тираж основных карточек определяется местами хранения, тираж добавочных - числом добавочных карточек и мест хранения, тираж карточек для систематического каталога - числом классификационных индексов. Для ссылочных карточек, топографического каталога, формуляров и оборотов тираж обычно не применяется.</w:t>
      </w:r>
    </w:p>
    <w:p>
      <w:pPr>
        <w:pStyle w:val="BodyText"/>
      </w:pPr>
      <w:r>
        <w:t xml:space="preserve">Если требуется особый тираж по месту хранения, используются справочники</w:t>
      </w:r>
      <w:r>
        <w:t xml:space="preserve"> </w:t>
      </w:r>
      <w:r>
        <w:rPr>
          <w:rStyle w:val="VerbatimChar"/>
        </w:rPr>
        <w:t xml:space="preserve">Mhr_tirajO.mnu</w:t>
      </w:r>
      <w:r>
        <w:t xml:space="preserve">,</w:t>
      </w:r>
      <w:r>
        <w:t xml:space="preserve"> </w:t>
      </w:r>
      <w:r>
        <w:rPr>
          <w:rStyle w:val="VerbatimChar"/>
        </w:rPr>
        <w:t xml:space="preserve">Mhr_tirajD.mnu</w:t>
      </w:r>
      <w:r>
        <w:t xml:space="preserve"> </w:t>
      </w:r>
      <w:r>
        <w:t xml:space="preserve">и</w:t>
      </w:r>
      <w:r>
        <w:t xml:space="preserve"> </w:t>
      </w:r>
      <w:r>
        <w:rPr>
          <w:rStyle w:val="VerbatimChar"/>
        </w:rPr>
        <w:t xml:space="preserve">Mhr_tirajS.mnu</w:t>
      </w:r>
      <w:r>
        <w:t xml:space="preserve"> </w:t>
      </w:r>
      <w:r>
        <w:t xml:space="preserve">либо индивидуальная настройка в поле</w:t>
      </w:r>
      <w:r>
        <w:t xml:space="preserve"> </w:t>
      </w:r>
      <w:r>
        <w:rPr>
          <w:rStyle w:val="VerbatimChar"/>
        </w:rPr>
        <w:t xml:space="preserve">905</w:t>
      </w:r>
      <w:r>
        <w:t xml:space="preserve">.</w:t>
      </w:r>
    </w:p>
    <w:bookmarkEnd w:id="193"/>
    <w:bookmarkStart w:id="194" w:name="инвентарные-и-отчётные-формы"/>
    <w:p>
      <w:pPr>
        <w:pStyle w:val="Heading4"/>
      </w:pPr>
      <w:r>
        <w:t xml:space="preserve">9. Инвентарные и отчётные формы</w:t>
      </w:r>
    </w:p>
    <w:p>
      <w:pPr>
        <w:pStyle w:val="FirstParagraph"/>
      </w:pPr>
      <w:r>
        <w:t xml:space="preserve">Инвентарные списки делятся по назначению:</w:t>
      </w:r>
    </w:p>
    <w:p>
      <w:pPr>
        <w:pStyle w:val="Compact"/>
        <w:numPr>
          <w:ilvl w:val="0"/>
          <w:numId w:val="1058"/>
        </w:numPr>
      </w:pPr>
      <w:r>
        <w:rPr>
          <w:rStyle w:val="VerbatimChar"/>
        </w:rPr>
        <w:t xml:space="preserve">TABINW</w:t>
      </w:r>
      <w:r>
        <w:t xml:space="preserve"> </w:t>
      </w:r>
      <w:r>
        <w:t xml:space="preserve">- новые поступления, индивидуальный учёт;</w:t>
      </w:r>
    </w:p>
    <w:p>
      <w:pPr>
        <w:pStyle w:val="Compact"/>
        <w:numPr>
          <w:ilvl w:val="0"/>
          <w:numId w:val="1058"/>
        </w:numPr>
      </w:pPr>
      <w:r>
        <w:rPr>
          <w:rStyle w:val="VerbatimChar"/>
        </w:rPr>
        <w:t xml:space="preserve">TABIUW</w:t>
      </w:r>
      <w:r>
        <w:t xml:space="preserve"> </w:t>
      </w:r>
      <w:r>
        <w:t xml:space="preserve">- новые поступления, общий учёт;</w:t>
      </w:r>
    </w:p>
    <w:p>
      <w:pPr>
        <w:pStyle w:val="Compact"/>
        <w:numPr>
          <w:ilvl w:val="0"/>
          <w:numId w:val="1058"/>
        </w:numPr>
      </w:pPr>
      <w:r>
        <w:rPr>
          <w:rStyle w:val="VerbatimChar"/>
        </w:rPr>
        <w:t xml:space="preserve">TAB4BW</w:t>
      </w:r>
      <w:r>
        <w:t xml:space="preserve"> </w:t>
      </w:r>
      <w:r>
        <w:t xml:space="preserve">- сквозная сортировка, индивидуальный учёт;</w:t>
      </w:r>
    </w:p>
    <w:p>
      <w:pPr>
        <w:pStyle w:val="Compact"/>
        <w:numPr>
          <w:ilvl w:val="0"/>
          <w:numId w:val="1058"/>
        </w:numPr>
      </w:pPr>
      <w:r>
        <w:rPr>
          <w:rStyle w:val="VerbatimChar"/>
        </w:rPr>
        <w:t xml:space="preserve">TAB4OW</w:t>
      </w:r>
      <w:r>
        <w:t xml:space="preserve"> </w:t>
      </w:r>
      <w:r>
        <w:t xml:space="preserve">- сквозная сортировка, общий учёт.</w:t>
      </w:r>
    </w:p>
    <w:p>
      <w:pPr>
        <w:pStyle w:val="FirstParagraph"/>
      </w:pPr>
      <w:r>
        <w:t xml:space="preserve">Если стандартная форма содержит лишние столбцы для конкретной организации, их можно удалить в готовом документе или подготовить собственный формат.</w:t>
      </w:r>
    </w:p>
    <w:p>
      <w:pPr>
        <w:pStyle w:val="BodyText"/>
      </w:pPr>
      <w:r>
        <w:t xml:space="preserve">Другие полезные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TNNJW</w:t>
            </w:r>
          </w:p>
        </w:tc>
        <w:tc>
          <w:tcPr/>
          <w:p>
            <w:pPr>
              <w:pStyle w:val="Compact"/>
            </w:pPr>
            <w:r>
              <w:t xml:space="preserve">Непоступившие номера журналов</w:t>
            </w:r>
          </w:p>
        </w:tc>
      </w:tr>
      <w:tr>
        <w:tc>
          <w:tcPr/>
          <w:p>
            <w:pPr>
              <w:pStyle w:val="Compact"/>
            </w:pPr>
            <w:r>
              <w:rPr>
                <w:rStyle w:val="VerbatimChar"/>
              </w:rPr>
              <w:t xml:space="preserve">TABF1W</w:t>
            </w:r>
          </w:p>
        </w:tc>
        <w:tc>
          <w:tcPr/>
          <w:p>
            <w:pPr>
              <w:pStyle w:val="Compact"/>
            </w:pPr>
            <w:r>
              <w:t xml:space="preserve">Справка о поступлении книг в библиотеку</w:t>
            </w:r>
          </w:p>
        </w:tc>
      </w:tr>
      <w:tr>
        <w:tc>
          <w:tcPr/>
          <w:p>
            <w:pPr>
              <w:pStyle w:val="Compact"/>
            </w:pPr>
            <w:r>
              <w:rPr>
                <w:rStyle w:val="VerbatimChar"/>
              </w:rPr>
              <w:t xml:space="preserve">TABF3W</w:t>
            </w:r>
          </w:p>
        </w:tc>
        <w:tc>
          <w:tcPr/>
          <w:p>
            <w:pPr>
              <w:pStyle w:val="Compact"/>
            </w:pPr>
            <w:r>
              <w:t xml:space="preserve">Лист актового учёта</w:t>
            </w:r>
          </w:p>
        </w:tc>
      </w:tr>
      <w:tr>
        <w:tc>
          <w:tcPr/>
          <w:p>
            <w:pPr>
              <w:pStyle w:val="Compact"/>
            </w:pPr>
            <w:r>
              <w:rPr>
                <w:rStyle w:val="VerbatimChar"/>
              </w:rPr>
              <w:t xml:space="preserve">LAND</w:t>
            </w:r>
          </w:p>
        </w:tc>
        <w:tc>
          <w:tcPr/>
          <w:p>
            <w:pPr>
              <w:pStyle w:val="Compact"/>
            </w:pPr>
            <w:r>
              <w:t xml:space="preserve">Спрашиваемость литературы</w:t>
            </w:r>
          </w:p>
        </w:tc>
      </w:tr>
      <w:tr>
        <w:tc>
          <w:tcPr/>
          <w:p>
            <w:pPr>
              <w:pStyle w:val="Compact"/>
            </w:pPr>
            <w:r>
              <w:rPr>
                <w:rStyle w:val="VerbatimChar"/>
              </w:rPr>
              <w:t xml:space="preserve">AVTS</w:t>
            </w:r>
          </w:p>
        </w:tc>
        <w:tc>
          <w:tcPr/>
          <w:p>
            <w:pPr>
              <w:pStyle w:val="Compact"/>
            </w:pPr>
            <w:r>
              <w:t xml:space="preserve">Труды авторов по месту работы</w:t>
            </w:r>
          </w:p>
        </w:tc>
      </w:tr>
      <w:tr>
        <w:tc>
          <w:tcPr/>
          <w:p>
            <w:pPr>
              <w:pStyle w:val="Compact"/>
            </w:pPr>
            <w:r>
              <w:rPr>
                <w:rStyle w:val="VerbatimChar"/>
              </w:rPr>
              <w:t xml:space="preserve">COLL</w:t>
            </w:r>
          </w:p>
        </w:tc>
        <w:tc>
          <w:tcPr/>
          <w:p>
            <w:pPr>
              <w:pStyle w:val="Compact"/>
            </w:pPr>
            <w:r>
              <w:t xml:space="preserve">Опись музейных коллекций</w:t>
            </w:r>
          </w:p>
        </w:tc>
      </w:tr>
      <w:tr>
        <w:tc>
          <w:tcPr/>
          <w:p>
            <w:pPr>
              <w:pStyle w:val="Compact"/>
            </w:pPr>
            <w:r>
              <w:rPr>
                <w:rStyle w:val="VerbatimChar"/>
              </w:rPr>
              <w:t xml:space="preserve">TPRFA</w:t>
            </w:r>
          </w:p>
        </w:tc>
        <w:tc>
          <w:tcPr/>
          <w:p>
            <w:pPr>
              <w:pStyle w:val="Compact"/>
            </w:pPr>
            <w:r>
              <w:t xml:space="preserve">Акт проверки фонда</w:t>
            </w:r>
          </w:p>
        </w:tc>
      </w:tr>
      <w:tr>
        <w:tc>
          <w:tcPr/>
          <w:p>
            <w:pPr>
              <w:pStyle w:val="Compact"/>
            </w:pPr>
            <w:r>
              <w:rPr>
                <w:rStyle w:val="VerbatimChar"/>
              </w:rPr>
              <w:t xml:space="preserve">TPRFI</w:t>
            </w:r>
          </w:p>
        </w:tc>
        <w:tc>
          <w:tcPr/>
          <w:p>
            <w:pPr>
              <w:pStyle w:val="Compact"/>
            </w:pPr>
            <w:r>
              <w:t xml:space="preserve">Инвентарный список проверки фонда</w:t>
            </w:r>
          </w:p>
        </w:tc>
      </w:tr>
      <w:tr>
        <w:tc>
          <w:tcPr/>
          <w:p>
            <w:pPr>
              <w:pStyle w:val="Compact"/>
            </w:pPr>
            <w:r>
              <w:rPr>
                <w:rStyle w:val="VerbatimChar"/>
              </w:rPr>
              <w:t xml:space="preserve">TPRFSH</w:t>
            </w:r>
          </w:p>
        </w:tc>
        <w:tc>
          <w:tcPr/>
          <w:p>
            <w:pPr>
              <w:pStyle w:val="Compact"/>
            </w:pPr>
            <w:r>
              <w:t xml:space="preserve">Список штрих-кодов проверки фонда</w:t>
            </w:r>
          </w:p>
        </w:tc>
      </w:tr>
      <w:tr>
        <w:tc>
          <w:tcPr/>
          <w:p>
            <w:pPr>
              <w:pStyle w:val="Compact"/>
            </w:pPr>
            <w:r>
              <w:rPr>
                <w:rStyle w:val="VerbatimChar"/>
              </w:rPr>
              <w:t xml:space="preserve">TNPRSH</w:t>
            </w:r>
          </w:p>
        </w:tc>
        <w:tc>
          <w:tcPr/>
          <w:p>
            <w:pPr>
              <w:pStyle w:val="Compact"/>
            </w:pPr>
            <w:r>
              <w:t xml:space="preserve">Список непроверенных штрих-кодов</w:t>
            </w:r>
          </w:p>
        </w:tc>
      </w:tr>
      <w:tr>
        <w:tc>
          <w:tcPr/>
          <w:p>
            <w:pPr>
              <w:pStyle w:val="Compact"/>
            </w:pPr>
            <w:r>
              <w:rPr>
                <w:rStyle w:val="VerbatimChar"/>
              </w:rPr>
              <w:t xml:space="preserve">INV_PROVF</w:t>
            </w:r>
          </w:p>
        </w:tc>
        <w:tc>
          <w:tcPr/>
          <w:p>
            <w:pPr>
              <w:pStyle w:val="Compact"/>
            </w:pPr>
            <w:r>
              <w:t xml:space="preserve">Список инвентарных номеров или штрих-кодов для групповой проверки</w:t>
            </w:r>
          </w:p>
        </w:tc>
      </w:tr>
      <w:tr>
        <w:tc>
          <w:tcPr/>
          <w:p>
            <w:pPr>
              <w:pStyle w:val="Compact"/>
            </w:pPr>
            <w:r>
              <w:rPr>
                <w:rStyle w:val="VerbatimChar"/>
              </w:rPr>
              <w:t xml:space="preserve">Brief_Tab</w:t>
            </w:r>
          </w:p>
        </w:tc>
        <w:tc>
          <w:tcPr/>
          <w:p>
            <w:pPr>
              <w:pStyle w:val="Compact"/>
            </w:pPr>
            <w:r>
              <w:t xml:space="preserve">Список документов, сортированный по заголовку</w:t>
            </w:r>
          </w:p>
        </w:tc>
      </w:tr>
      <w:tr>
        <w:tc>
          <w:tcPr/>
          <w:p>
            <w:pPr>
              <w:pStyle w:val="Compact"/>
            </w:pPr>
            <w:r>
              <w:rPr>
                <w:rStyle w:val="VerbatimChar"/>
              </w:rPr>
              <w:t xml:space="preserve">Brdat_Tab</w:t>
            </w:r>
          </w:p>
        </w:tc>
        <w:tc>
          <w:tcPr/>
          <w:p>
            <w:pPr>
              <w:pStyle w:val="Compact"/>
            </w:pPr>
            <w:r>
              <w:t xml:space="preserve">Список документов, сортированный по дате ввода</w:t>
            </w:r>
          </w:p>
        </w:tc>
      </w:tr>
      <w:tr>
        <w:tc>
          <w:tcPr/>
          <w:p>
            <w:pPr>
              <w:pStyle w:val="Compact"/>
            </w:pPr>
            <w:r>
              <w:rPr>
                <w:rStyle w:val="VerbatimChar"/>
              </w:rPr>
              <w:t xml:space="preserve">Bryear_Tab</w:t>
            </w:r>
          </w:p>
        </w:tc>
        <w:tc>
          <w:tcPr/>
          <w:p>
            <w:pPr>
              <w:pStyle w:val="Compact"/>
            </w:pPr>
            <w:r>
              <w:t xml:space="preserve">Список документов, сортированный по году выхода</w:t>
            </w:r>
          </w:p>
        </w:tc>
      </w:tr>
    </w:tbl>
    <w:bookmarkEnd w:id="194"/>
    <w:bookmarkEnd w:id="195"/>
    <w:bookmarkStart w:id="206" w:name="авторитетные-базы-данных"/>
    <w:p>
      <w:pPr>
        <w:pStyle w:val="Heading3"/>
      </w:pPr>
      <w:r>
        <w:t xml:space="preserve">Авторитетные базы данных</w:t>
      </w:r>
    </w:p>
    <w:p>
      <w:pPr>
        <w:pStyle w:val="FirstParagraph"/>
      </w:pPr>
      <w:r>
        <w:t xml:space="preserve">Авторитетные базы используются для нормированного ввода авторов, коллективов, предметных рубрик, классификационных индексов и географических названий в электронный каталог. Они помогают выбирать уже принятые формы заголовков, хранить вариантные формы и поддерживать связи между библиографическими и авторитетными записями.</w:t>
      </w:r>
    </w:p>
    <w:p>
      <w:pPr>
        <w:pStyle w:val="BodyText"/>
      </w:pPr>
      <w:r>
        <w:t xml:space="preserve">В текущей поставке и настройках системы используются базы</w:t>
      </w:r>
      <w:r>
        <w:t xml:space="preserve"> </w:t>
      </w:r>
      <w:r>
        <w:rPr>
          <w:rStyle w:val="VerbatimChar"/>
        </w:rPr>
        <w:t xml:space="preserve">ATHRA</w:t>
      </w:r>
      <w:r>
        <w:t xml:space="preserve">,</w:t>
      </w:r>
      <w:r>
        <w:t xml:space="preserve"> </w:t>
      </w:r>
      <w:r>
        <w:rPr>
          <w:rStyle w:val="VerbatimChar"/>
        </w:rPr>
        <w:t xml:space="preserve">ATHRC</w:t>
      </w:r>
      <w:r>
        <w:t xml:space="preserve">,</w:t>
      </w:r>
      <w:r>
        <w:t xml:space="preserve"> </w:t>
      </w:r>
      <w:r>
        <w:rPr>
          <w:rStyle w:val="VerbatimChar"/>
        </w:rPr>
        <w:t xml:space="preserve">ATHRS</w:t>
      </w:r>
      <w:r>
        <w:t xml:space="preserve">,</w:t>
      </w:r>
      <w:r>
        <w:t xml:space="preserve"> </w:t>
      </w:r>
      <w:r>
        <w:rPr>
          <w:rStyle w:val="VerbatimChar"/>
        </w:rPr>
        <w:t xml:space="preserve">ATHRB</w:t>
      </w:r>
      <w:r>
        <w:t xml:space="preserve">,</w:t>
      </w:r>
      <w:r>
        <w:t xml:space="preserve"> </w:t>
      </w:r>
      <w:r>
        <w:rPr>
          <w:rStyle w:val="VerbatimChar"/>
        </w:rPr>
        <w:t xml:space="preserve">ATHRU</w:t>
      </w:r>
      <w:r>
        <w:t xml:space="preserve">,</w:t>
      </w:r>
      <w:r>
        <w:t xml:space="preserve"> </w:t>
      </w:r>
      <w:r>
        <w:rPr>
          <w:rStyle w:val="VerbatimChar"/>
        </w:rPr>
        <w:t xml:space="preserve">ATHRG</w:t>
      </w:r>
      <w:r>
        <w:t xml:space="preserve">. Их имена задаются системными параметрами</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 в типовой поставке эти параметры указывают на одноимённые базы.</w:t>
      </w:r>
    </w:p>
    <w:p>
      <w:pPr>
        <w:pStyle w:val="BodyText"/>
      </w:pPr>
      <w:r>
        <w:t xml:space="preserve">Авторитетные базы применяются:</w:t>
      </w:r>
    </w:p>
    <w:p>
      <w:pPr>
        <w:pStyle w:val="Compact"/>
        <w:numPr>
          <w:ilvl w:val="0"/>
          <w:numId w:val="1059"/>
        </w:numPr>
      </w:pPr>
      <w:r>
        <w:t xml:space="preserve">при вводе данных в электронный каталог через поля, поддерживающие обращение к авторитетной записи;</w:t>
      </w:r>
    </w:p>
    <w:p>
      <w:pPr>
        <w:pStyle w:val="Compact"/>
        <w:numPr>
          <w:ilvl w:val="0"/>
          <w:numId w:val="1059"/>
        </w:numPr>
      </w:pPr>
      <w:r>
        <w:t xml:space="preserve">при поиске и навигации по нормируемым данным;</w:t>
      </w:r>
    </w:p>
    <w:p>
      <w:pPr>
        <w:pStyle w:val="Compact"/>
        <w:numPr>
          <w:ilvl w:val="0"/>
          <w:numId w:val="1059"/>
        </w:numPr>
      </w:pPr>
      <w:r>
        <w:t xml:space="preserve">при автоматическом пополнении авторитетных баз из записей электронного каталога;</w:t>
      </w:r>
    </w:p>
    <w:p>
      <w:pPr>
        <w:pStyle w:val="Compact"/>
        <w:numPr>
          <w:ilvl w:val="0"/>
          <w:numId w:val="1059"/>
        </w:numPr>
      </w:pPr>
      <w:r>
        <w:t xml:space="preserve">при глобальной корректировке и согласовании нормируемых данных.</w:t>
      </w:r>
    </w:p>
    <w:bookmarkStart w:id="197" w:name="общие-правила-ведения"/>
    <w:p>
      <w:pPr>
        <w:pStyle w:val="Heading4"/>
      </w:pPr>
      <w:r>
        <w:t xml:space="preserve">1. Общие правила ведения</w:t>
      </w:r>
    </w:p>
    <w:p>
      <w:pPr>
        <w:pStyle w:val="FirstParagraph"/>
      </w:pPr>
      <w:r>
        <w:t xml:space="preserve">Для авторитетных баз используются три типа записей:</w:t>
      </w:r>
    </w:p>
    <w:p>
      <w:pPr>
        <w:pStyle w:val="Compact"/>
        <w:numPr>
          <w:ilvl w:val="0"/>
          <w:numId w:val="1060"/>
        </w:numPr>
      </w:pPr>
      <w:r>
        <w:t xml:space="preserve">основная авторитетная запись с принятой формой заголовка;</w:t>
      </w:r>
    </w:p>
    <w:p>
      <w:pPr>
        <w:pStyle w:val="Compact"/>
        <w:numPr>
          <w:ilvl w:val="0"/>
          <w:numId w:val="1060"/>
        </w:numPr>
      </w:pPr>
      <w:r>
        <w:t xml:space="preserve">ссылочная запись, если связь между принятой и вариантной формой нельзя установить внутри основной записи;</w:t>
      </w:r>
    </w:p>
    <w:p>
      <w:pPr>
        <w:pStyle w:val="Compact"/>
        <w:numPr>
          <w:ilvl w:val="0"/>
          <w:numId w:val="1060"/>
        </w:numPr>
      </w:pPr>
      <w:r>
        <w:t xml:space="preserve">справочная запись для пояснительной информации.</w:t>
      </w:r>
    </w:p>
    <w:p>
      <w:pPr>
        <w:pStyle w:val="FirstParagraph"/>
      </w:pPr>
      <w:r>
        <w:t xml:space="preserve">В авторитетных записях поля связи имеют устойчивую методическую роль:</w:t>
      </w:r>
    </w:p>
    <w:p>
      <w:pPr>
        <w:pStyle w:val="Compact"/>
        <w:numPr>
          <w:ilvl w:val="0"/>
          <w:numId w:val="1061"/>
        </w:numPr>
      </w:pPr>
      <w:r>
        <w:t xml:space="preserve">поле</w:t>
      </w:r>
      <w:r>
        <w:t xml:space="preserve"> </w:t>
      </w:r>
      <w:r>
        <w:rPr>
          <w:rStyle w:val="VerbatimChar"/>
        </w:rPr>
        <w:t xml:space="preserve">410</w:t>
      </w:r>
      <w:r>
        <w:t xml:space="preserve"> </w:t>
      </w:r>
      <w:r>
        <w:t xml:space="preserve">содержит вариантные заголовки и формирует ссылку</w:t>
      </w:r>
      <w:r>
        <w:t xml:space="preserve"> </w:t>
      </w:r>
      <w:r>
        <w:rPr>
          <w:rStyle w:val="VerbatimChar"/>
        </w:rPr>
        <w:t xml:space="preserve">см.</w:t>
      </w:r>
      <w:r>
        <w:t xml:space="preserve"> </w:t>
      </w:r>
      <w:r>
        <w:t xml:space="preserve">к принятому заголовку;</w:t>
      </w:r>
    </w:p>
    <w:p>
      <w:pPr>
        <w:pStyle w:val="Compact"/>
        <w:numPr>
          <w:ilvl w:val="0"/>
          <w:numId w:val="1061"/>
        </w:numPr>
      </w:pPr>
      <w:r>
        <w:t xml:space="preserve">поле</w:t>
      </w:r>
      <w:r>
        <w:t xml:space="preserve"> </w:t>
      </w:r>
      <w:r>
        <w:rPr>
          <w:rStyle w:val="VerbatimChar"/>
        </w:rPr>
        <w:t xml:space="preserve">510</w:t>
      </w:r>
      <w:r>
        <w:t xml:space="preserve"> </w:t>
      </w:r>
      <w:r>
        <w:t xml:space="preserve">содержит связанные принятые заголовки и формирует ссылку</w:t>
      </w:r>
      <w:r>
        <w:t xml:space="preserve"> </w:t>
      </w:r>
      <w:r>
        <w:rPr>
          <w:rStyle w:val="VerbatimChar"/>
        </w:rPr>
        <w:t xml:space="preserve">см. также</w:t>
      </w:r>
      <w:r>
        <w:t xml:space="preserve">;</w:t>
      </w:r>
    </w:p>
    <w:p>
      <w:pPr>
        <w:pStyle w:val="Compact"/>
        <w:numPr>
          <w:ilvl w:val="0"/>
          <w:numId w:val="1061"/>
        </w:numPr>
      </w:pPr>
      <w:r>
        <w:t xml:space="preserve">поле</w:t>
      </w:r>
      <w:r>
        <w:t xml:space="preserve"> </w:t>
      </w:r>
      <w:r>
        <w:rPr>
          <w:rStyle w:val="VerbatimChar"/>
        </w:rPr>
        <w:t xml:space="preserve">305</w:t>
      </w:r>
      <w:r>
        <w:t xml:space="preserve"> </w:t>
      </w:r>
      <w:r>
        <w:t xml:space="preserve">поясняет связь между принятыми заголовками, если её нельзя корректно выразить только данными</w:t>
      </w:r>
      <w:r>
        <w:t xml:space="preserve"> </w:t>
      </w:r>
      <w:r>
        <w:rPr>
          <w:rStyle w:val="VerbatimChar"/>
        </w:rPr>
        <w:t xml:space="preserve">510</w:t>
      </w:r>
      <w:r>
        <w:t xml:space="preserve">.</w:t>
      </w:r>
    </w:p>
    <w:p>
      <w:pPr>
        <w:pStyle w:val="FirstParagraph"/>
      </w:pPr>
      <w:r>
        <w:t xml:space="preserve">Вариантные заголовки из</w:t>
      </w:r>
      <w:r>
        <w:t xml:space="preserve"> </w:t>
      </w:r>
      <w:r>
        <w:rPr>
          <w:rStyle w:val="VerbatimChar"/>
        </w:rPr>
        <w:t xml:space="preserve">410</w:t>
      </w:r>
      <w:r>
        <w:t xml:space="preserve"> </w:t>
      </w:r>
      <w:r>
        <w:t xml:space="preserve">не должны быть заголовками других авторитетных записей и не переносятся в запись электронного каталога как самостоятельные данные. Связанные заголовки из</w:t>
      </w:r>
      <w:r>
        <w:t xml:space="preserve"> </w:t>
      </w:r>
      <w:r>
        <w:rPr>
          <w:rStyle w:val="VerbatimChar"/>
        </w:rPr>
        <w:t xml:space="preserve">510</w:t>
      </w:r>
      <w:r>
        <w:t xml:space="preserve"> </w:t>
      </w:r>
      <w:r>
        <w:t xml:space="preserve">должны существовать как принятые заголовки других авторитетных записей; при сохранении они могут создаваться автоматически.</w:t>
      </w:r>
    </w:p>
    <w:p>
      <w:pPr>
        <w:pStyle w:val="BodyText"/>
      </w:pPr>
      <w:r>
        <w:t xml:space="preserve">Автоматическое пополнение авторитетных баз возможно двумя способами: при сохранении библиографической записи, если включён соответствующий параметр</w:t>
      </w:r>
      <w:r>
        <w:t xml:space="preserve"> </w:t>
      </w:r>
      <w:r>
        <w:rPr>
          <w:rStyle w:val="VerbatimChar"/>
        </w:rPr>
        <w:t xml:space="preserve">MODATHR*</w:t>
      </w:r>
      <w:r>
        <w:t xml:space="preserve">, или заданием глобальной корректировки. Общая технология пополнения описана в разделе</w:t>
      </w:r>
      <w:r>
        <w:t xml:space="preserve"> </w:t>
      </w:r>
      <w:hyperlink r:id="rId196">
        <w:r>
          <w:rPr>
            <w:rStyle w:val="Hyperlink"/>
          </w:rPr>
          <w:t xml:space="preserve">Глобальная корректировка данных</w:t>
        </w:r>
      </w:hyperlink>
      <w:r>
        <w:t xml:space="preserve">.</w:t>
      </w:r>
    </w:p>
    <w:bookmarkEnd w:id="197"/>
    <w:bookmarkStart w:id="199" w:name="athra-индивидуальные-авторы"/>
    <w:p>
      <w:pPr>
        <w:pStyle w:val="Heading4"/>
      </w:pPr>
      <w:r>
        <w:t xml:space="preserve">2.</w:t>
      </w:r>
      <w:r>
        <w:t xml:space="preserve"> </w:t>
      </w:r>
      <w:r>
        <w:rPr>
          <w:rStyle w:val="VerbatimChar"/>
        </w:rPr>
        <w:t xml:space="preserve">ATHRA</w:t>
      </w:r>
      <w:r>
        <w:t xml:space="preserve">: индивидуальные авторы</w:t>
      </w:r>
    </w:p>
    <w:p>
      <w:pPr>
        <w:pStyle w:val="FirstParagraph"/>
      </w:pPr>
      <w:r>
        <w:rPr>
          <w:rStyle w:val="VerbatimChar"/>
        </w:rPr>
        <w:t xml:space="preserve">ATHRA</w:t>
      </w:r>
      <w:r>
        <w:t xml:space="preserve"> </w:t>
      </w:r>
      <w:r>
        <w:t xml:space="preserve">предназначена для авторитетных записей на индивидуальных авторов и другие индивидуальные лица.</w:t>
      </w:r>
    </w:p>
    <w:p>
      <w:pPr>
        <w:pStyle w:val="BodyText"/>
      </w:pPr>
      <w:r>
        <w:t xml:space="preserve">Рабочие листы:</w:t>
      </w:r>
    </w:p>
    <w:p>
      <w:pPr>
        <w:pStyle w:val="Compact"/>
        <w:numPr>
          <w:ilvl w:val="0"/>
          <w:numId w:val="1062"/>
        </w:numPr>
      </w:pPr>
      <w:r>
        <w:rPr>
          <w:rStyle w:val="VerbatimChar"/>
        </w:rPr>
        <w:t xml:space="preserve">ATHRA</w:t>
      </w:r>
      <w:r>
        <w:t xml:space="preserve"> </w:t>
      </w:r>
      <w:r>
        <w:t xml:space="preserve">- основная авторитетная запись на индивидуальное лицо;</w:t>
      </w:r>
    </w:p>
    <w:p>
      <w:pPr>
        <w:pStyle w:val="Compact"/>
        <w:numPr>
          <w:ilvl w:val="0"/>
          <w:numId w:val="1062"/>
        </w:numPr>
      </w:pPr>
      <w:r>
        <w:rPr>
          <w:rStyle w:val="VerbatimChar"/>
        </w:rPr>
        <w:t xml:space="preserve">REF</w:t>
      </w:r>
      <w:r>
        <w:t xml:space="preserve"> </w:t>
      </w:r>
      <w:r>
        <w:t xml:space="preserve">- ссылочная запись, если связь не удаётся установить в основной записи;</w:t>
      </w:r>
    </w:p>
    <w:p>
      <w:pPr>
        <w:pStyle w:val="Compact"/>
        <w:numPr>
          <w:ilvl w:val="0"/>
          <w:numId w:val="1062"/>
        </w:numPr>
      </w:pPr>
      <w:r>
        <w:rPr>
          <w:rStyle w:val="VerbatimChar"/>
        </w:rPr>
        <w:t xml:space="preserve">EXP</w:t>
      </w:r>
      <w:r>
        <w:t xml:space="preserve"> </w:t>
      </w:r>
      <w:r>
        <w:t xml:space="preserve">- справочная запись.</w:t>
      </w:r>
    </w:p>
    <w:p>
      <w:pPr>
        <w:pStyle w:val="FirstParagraph"/>
      </w:pPr>
      <w:r>
        <w:t xml:space="preserve">База используется при вводе лиц первичной и вторичной ответственности, персоналий и имён в составе специальных полей электронного каталога. Типичные поля ЭК:</w:t>
      </w:r>
      <w:r>
        <w:t xml:space="preserve">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w:t>
      </w:r>
      <w:r>
        <w:t xml:space="preserve"> </w:t>
      </w:r>
      <w:r>
        <w:rPr>
          <w:rStyle w:val="VerbatimChar"/>
        </w:rPr>
        <w:t xml:space="preserve">600</w:t>
      </w:r>
      <w:r>
        <w:t xml:space="preserve">,</w:t>
      </w:r>
      <w:r>
        <w:t xml:space="preserve"> </w:t>
      </w:r>
      <w:r>
        <w:rPr>
          <w:rStyle w:val="VerbatimChar"/>
        </w:rPr>
        <w:t xml:space="preserve">330</w:t>
      </w:r>
      <w:r>
        <w:t xml:space="preserve">,</w:t>
      </w:r>
      <w:r>
        <w:t xml:space="preserve"> </w:t>
      </w:r>
      <w:r>
        <w:rPr>
          <w:rStyle w:val="VerbatimChar"/>
        </w:rPr>
        <w:t xml:space="preserve">922</w:t>
      </w:r>
      <w:r>
        <w:t xml:space="preserve">,</w:t>
      </w:r>
      <w:r>
        <w:t xml:space="preserve"> </w:t>
      </w:r>
      <w:r>
        <w:rPr>
          <w:rStyle w:val="VerbatimChar"/>
        </w:rPr>
        <w:t xml:space="preserve">925</w:t>
      </w:r>
      <w:r>
        <w:t xml:space="preserve">,</w:t>
      </w:r>
      <w:r>
        <w:t xml:space="preserve"> </w:t>
      </w:r>
      <w:r>
        <w:rPr>
          <w:rStyle w:val="VerbatimChar"/>
        </w:rPr>
        <w:t xml:space="preserve">926</w:t>
      </w:r>
      <w:r>
        <w:t xml:space="preserve">,</w:t>
      </w:r>
      <w:r>
        <w:t xml:space="preserve"> </w:t>
      </w:r>
      <w:r>
        <w:rPr>
          <w:rStyle w:val="VerbatimChar"/>
        </w:rPr>
        <w:t xml:space="preserve">961</w:t>
      </w:r>
      <w:r>
        <w:t xml:space="preserve">,</w:t>
      </w:r>
      <w:r>
        <w:t xml:space="preserve"> </w:t>
      </w:r>
      <w:r>
        <w:rPr>
          <w:rStyle w:val="VerbatimChar"/>
        </w:rPr>
        <w:t xml:space="preserve">391</w:t>
      </w:r>
      <w:r>
        <w:t xml:space="preserve">,</w:t>
      </w:r>
      <w:r>
        <w:t xml:space="preserve"> </w:t>
      </w:r>
      <w:r>
        <w:rPr>
          <w:rStyle w:val="VerbatimChar"/>
        </w:rPr>
        <w:t xml:space="preserve">481</w:t>
      </w:r>
      <w:r>
        <w:t xml:space="preserve">,</w:t>
      </w:r>
      <w:r>
        <w:t xml:space="preserve"> </w:t>
      </w:r>
      <w:r>
        <w:rPr>
          <w:rStyle w:val="VerbatimChar"/>
        </w:rPr>
        <w:t xml:space="preserve">488</w:t>
      </w:r>
      <w:r>
        <w:t xml:space="preserve">.</w:t>
      </w:r>
    </w:p>
    <w:p>
      <w:pPr>
        <w:pStyle w:val="BodyText"/>
      </w:pPr>
      <w:r>
        <w:t xml:space="preserve">Автоматическое пополнение выполняется при</w:t>
      </w:r>
      <w:r>
        <w:t xml:space="preserve"> </w:t>
      </w:r>
      <w:r>
        <w:rPr>
          <w:rStyle w:val="VerbatimChar"/>
        </w:rPr>
        <w:t xml:space="preserve">MODATHRA=1</w:t>
      </w:r>
      <w:r>
        <w:t xml:space="preserve"> </w:t>
      </w:r>
      <w:r>
        <w:t xml:space="preserve">или заданием</w:t>
      </w:r>
      <w:r>
        <w:t xml:space="preserve"> </w:t>
      </w:r>
      <w:r>
        <w:rPr>
          <w:rStyle w:val="VerbatimChar"/>
        </w:rPr>
        <w:t xml:space="preserve">athra.gbl</w:t>
      </w:r>
      <w:r>
        <w:t xml:space="preserve">. В авторитетную базу включаются оригинальные лица из соответствующих полей библиографических записей.</w:t>
      </w:r>
    </w:p>
    <w:bookmarkStart w:id="198" w:name="признак-иностранного-агента-в-athra"/>
    <w:p>
      <w:pPr>
        <w:pStyle w:val="Heading5"/>
      </w:pPr>
      <w:r>
        <w:t xml:space="preserve">2.1. Признак иностранного агента в</w:t>
      </w:r>
      <w:r>
        <w:t xml:space="preserve"> </w:t>
      </w:r>
      <w:r>
        <w:rPr>
          <w:rStyle w:val="VerbatimChar"/>
        </w:rPr>
        <w:t xml:space="preserve">ATHRA</w:t>
      </w:r>
    </w:p>
    <w:p>
      <w:pPr>
        <w:pStyle w:val="FirstParagraph"/>
      </w:pPr>
      <w:r>
        <w:t xml:space="preserve">Если индивидуальное лицо имеет статус иностранного агента и организация должна учитывать это при описании и отборе документов, признак фиксируется в авторитетной записи</w:t>
      </w:r>
      <w:r>
        <w:t xml:space="preserve"> </w:t>
      </w:r>
      <w:r>
        <w:rPr>
          <w:rStyle w:val="VerbatimChar"/>
        </w:rPr>
        <w:t xml:space="preserve">ATHRA</w:t>
      </w:r>
      <w:r>
        <w:t xml:space="preserve">.</w:t>
      </w:r>
    </w:p>
    <w:p>
      <w:pPr>
        <w:pStyle w:val="BodyText"/>
      </w:pPr>
      <w:r>
        <w:t xml:space="preserve">В типовой поставке для этого используется поле</w:t>
      </w:r>
      <w:r>
        <w:t xml:space="preserve"> </w:t>
      </w:r>
      <w:r>
        <w:rPr>
          <w:rStyle w:val="VerbatimChar"/>
        </w:rPr>
        <w:t xml:space="preserve">333</w:t>
      </w:r>
      <w:r>
        <w:t xml:space="preserve"> </w:t>
      </w:r>
      <w:r>
        <w:t xml:space="preserve">- примечания об особенностях распространения и использования. В подполе</w:t>
      </w:r>
      <w:r>
        <w:t xml:space="preserve"> </w:t>
      </w:r>
      <w:r>
        <w:rPr>
          <w:rStyle w:val="VerbatimChar"/>
        </w:rPr>
        <w:t xml:space="preserve">^A</w:t>
      </w:r>
      <w:r>
        <w:t xml:space="preserve"> </w:t>
      </w:r>
      <w:r>
        <w:t xml:space="preserve">выбирается значение из меню</w:t>
      </w:r>
      <w:r>
        <w:t xml:space="preserve"> </w:t>
      </w:r>
      <w:r>
        <w:rPr>
          <w:rStyle w:val="VerbatimChar"/>
        </w:rPr>
        <w:t xml:space="preserve">ino.mnu</w:t>
      </w:r>
      <w:r>
        <w:t xml:space="preserve">, для статуса иностранного агента используется код</w:t>
      </w:r>
      <w:r>
        <w:t xml:space="preserve"> </w:t>
      </w:r>
      <w:r>
        <w:rPr>
          <w:rStyle w:val="VerbatimChar"/>
        </w:rPr>
        <w:t xml:space="preserve">I</w:t>
      </w:r>
      <w:r>
        <w:t xml:space="preserve">. В подполе</w:t>
      </w:r>
      <w:r>
        <w:t xml:space="preserve"> </w:t>
      </w:r>
      <w:r>
        <w:rPr>
          <w:rStyle w:val="VerbatimChar"/>
        </w:rPr>
        <w:t xml:space="preserve">^B</w:t>
      </w:r>
      <w:r>
        <w:t xml:space="preserve"> </w:t>
      </w:r>
      <w:r>
        <w:t xml:space="preserve">можно указать дату объявления в формате</w:t>
      </w:r>
      <w:r>
        <w:t xml:space="preserve"> </w:t>
      </w:r>
      <w:r>
        <w:rPr>
          <w:rStyle w:val="VerbatimChar"/>
        </w:rPr>
        <w:t xml:space="preserve">ГГГГММДД</w:t>
      </w:r>
      <w:r>
        <w:t xml:space="preserve">.</w:t>
      </w:r>
    </w:p>
    <w:p>
      <w:pPr>
        <w:pStyle w:val="BodyText"/>
      </w:pPr>
      <w:r>
        <w:t xml:space="preserve">Поле</w:t>
      </w:r>
      <w:r>
        <w:t xml:space="preserve"> </w:t>
      </w:r>
      <w:r>
        <w:rPr>
          <w:rStyle w:val="VerbatimChar"/>
        </w:rPr>
        <w:t xml:space="preserve">340</w:t>
      </w:r>
      <w:r>
        <w:t xml:space="preserve"> </w:t>
      </w:r>
      <w:r>
        <w:t xml:space="preserve">- примечания о биографии и деятельности - можно использовать для человекочитаемого пояснения: в подполе</w:t>
      </w:r>
      <w:r>
        <w:t xml:space="preserve"> </w:t>
      </w:r>
      <w:r>
        <w:rPr>
          <w:rStyle w:val="VerbatimChar"/>
        </w:rPr>
        <w:t xml:space="preserve">^B</w:t>
      </w:r>
      <w:r>
        <w:t xml:space="preserve"> </w:t>
      </w:r>
      <w:r>
        <w:t xml:space="preserve">записывается текст примечания о деятельности, в подполе</w:t>
      </w:r>
      <w:r>
        <w:t xml:space="preserve"> </w:t>
      </w:r>
      <w:r>
        <w:rPr>
          <w:rStyle w:val="VerbatimChar"/>
        </w:rPr>
        <w:t xml:space="preserve">^F</w:t>
      </w:r>
      <w:r>
        <w:t xml:space="preserve"> </w:t>
      </w:r>
      <w:r>
        <w:t xml:space="preserve">- даты, относящиеся к этому примечанию. Такое пояснение не заменяет структурированный признак в</w:t>
      </w:r>
      <w:r>
        <w:t xml:space="preserve"> </w:t>
      </w:r>
      <w:r>
        <w:rPr>
          <w:rStyle w:val="VerbatimChar"/>
        </w:rPr>
        <w:t xml:space="preserve">333</w:t>
      </w:r>
      <w:r>
        <w:t xml:space="preserve">, если локальная методика требует поискового отбора по иностранным агентам.</w:t>
      </w:r>
    </w:p>
    <w:p>
      <w:pPr>
        <w:pStyle w:val="BodyText"/>
      </w:pPr>
      <w:r>
        <w:t xml:space="preserve">После изменения авторитетной записи нужно перестроить словари или выполнить регламентную индексацию, принятую в организации. Форматы просмотра</w:t>
      </w:r>
      <w:r>
        <w:t xml:space="preserve"> </w:t>
      </w:r>
      <w:r>
        <w:rPr>
          <w:rStyle w:val="VerbatimChar"/>
        </w:rPr>
        <w:t xml:space="preserve">ATHRA</w:t>
      </w:r>
      <w:r>
        <w:t xml:space="preserve"> </w:t>
      </w:r>
      <w:r>
        <w:t xml:space="preserve">выводят поля</w:t>
      </w:r>
      <w:r>
        <w:t xml:space="preserve"> </w:t>
      </w:r>
      <w:r>
        <w:rPr>
          <w:rStyle w:val="VerbatimChar"/>
        </w:rPr>
        <w:t xml:space="preserve">333</w:t>
      </w:r>
      <w:r>
        <w:t xml:space="preserve"> </w:t>
      </w:r>
      <w:r>
        <w:t xml:space="preserve">и</w:t>
      </w:r>
      <w:r>
        <w:t xml:space="preserve"> </w:t>
      </w:r>
      <w:r>
        <w:rPr>
          <w:rStyle w:val="VerbatimChar"/>
        </w:rPr>
        <w:t xml:space="preserve">340</w:t>
      </w:r>
      <w:r>
        <w:t xml:space="preserve">, а поисковый индекс авторитетной базы формирует термин</w:t>
      </w:r>
      <w:r>
        <w:t xml:space="preserve"> </w:t>
      </w:r>
      <w:r>
        <w:rPr>
          <w:rStyle w:val="VerbatimChar"/>
        </w:rPr>
        <w:t xml:space="preserve">INO=</w:t>
      </w:r>
      <w:r>
        <w:t xml:space="preserve"> </w:t>
      </w:r>
      <w:r>
        <w:t xml:space="preserve">по заполненному полю</w:t>
      </w:r>
      <w:r>
        <w:t xml:space="preserve"> </w:t>
      </w:r>
      <w:r>
        <w:rPr>
          <w:rStyle w:val="VerbatimChar"/>
        </w:rPr>
        <w:t xml:space="preserve">333</w:t>
      </w:r>
      <w:r>
        <w:t xml:space="preserve">.</w:t>
      </w:r>
    </w:p>
    <w:bookmarkEnd w:id="198"/>
    <w:bookmarkEnd w:id="199"/>
    <w:bookmarkStart w:id="200" w:name="X477532c406a1b7542a6172268128286aab42ea6"/>
    <w:p>
      <w:pPr>
        <w:pStyle w:val="Heading4"/>
      </w:pPr>
      <w:r>
        <w:t xml:space="preserve">3.</w:t>
      </w:r>
      <w:r>
        <w:t xml:space="preserve"> </w:t>
      </w:r>
      <w:r>
        <w:rPr>
          <w:rStyle w:val="VerbatimChar"/>
        </w:rPr>
        <w:t xml:space="preserve">ATHRC</w:t>
      </w:r>
      <w:r>
        <w:t xml:space="preserve">: коллективы, мероприятия и издательства</w:t>
      </w:r>
    </w:p>
    <w:p>
      <w:pPr>
        <w:pStyle w:val="FirstParagraph"/>
      </w:pPr>
      <w:r>
        <w:rPr>
          <w:rStyle w:val="VerbatimChar"/>
        </w:rPr>
        <w:t xml:space="preserve">ATHRC</w:t>
      </w:r>
      <w:r>
        <w:t xml:space="preserve"> </w:t>
      </w:r>
      <w:r>
        <w:t xml:space="preserve">предназначена для авторитетных записей на постоянные коллективы, временные коллективы, мероприятия и издательства.</w:t>
      </w:r>
    </w:p>
    <w:p>
      <w:pPr>
        <w:pStyle w:val="BodyText"/>
      </w:pPr>
      <w:r>
        <w:t xml:space="preserve">Рабочие листы:</w:t>
      </w:r>
    </w:p>
    <w:p>
      <w:pPr>
        <w:pStyle w:val="Compact"/>
        <w:numPr>
          <w:ilvl w:val="0"/>
          <w:numId w:val="1063"/>
        </w:numPr>
      </w:pPr>
      <w:r>
        <w:rPr>
          <w:rStyle w:val="VerbatimChar"/>
        </w:rPr>
        <w:t xml:space="preserve">ATHRC</w:t>
      </w:r>
      <w:r>
        <w:t xml:space="preserve"> </w:t>
      </w:r>
      <w:r>
        <w:t xml:space="preserve">- основная запись на коллектив, мероприятие или издательство;</w:t>
      </w:r>
    </w:p>
    <w:p>
      <w:pPr>
        <w:pStyle w:val="Compact"/>
        <w:numPr>
          <w:ilvl w:val="0"/>
          <w:numId w:val="1063"/>
        </w:numPr>
      </w:pPr>
      <w:r>
        <w:rPr>
          <w:rStyle w:val="VerbatimChar"/>
        </w:rPr>
        <w:t xml:space="preserve">REF</w:t>
      </w:r>
      <w:r>
        <w:t xml:space="preserve"> </w:t>
      </w:r>
      <w:r>
        <w:t xml:space="preserve">- ссылочная запись;</w:t>
      </w:r>
    </w:p>
    <w:p>
      <w:pPr>
        <w:pStyle w:val="Compact"/>
        <w:numPr>
          <w:ilvl w:val="0"/>
          <w:numId w:val="1063"/>
        </w:numPr>
      </w:pPr>
      <w:r>
        <w:rPr>
          <w:rStyle w:val="VerbatimChar"/>
        </w:rPr>
        <w:t xml:space="preserve">EXP</w:t>
      </w:r>
      <w:r>
        <w:t xml:space="preserve"> </w:t>
      </w:r>
      <w:r>
        <w:t xml:space="preserve">- справочная запись.</w:t>
      </w:r>
    </w:p>
    <w:p>
      <w:pPr>
        <w:pStyle w:val="FirstParagraph"/>
      </w:pPr>
      <w:r>
        <w:t xml:space="preserve">Для полей</w:t>
      </w:r>
      <w:r>
        <w:t xml:space="preserve"> </w:t>
      </w:r>
      <w:r>
        <w:rPr>
          <w:rStyle w:val="VerbatimChar"/>
        </w:rPr>
        <w:t xml:space="preserve">210</w:t>
      </w:r>
      <w:r>
        <w:t xml:space="preserve">,</w:t>
      </w:r>
      <w:r>
        <w:t xml:space="preserve"> </w:t>
      </w:r>
      <w:r>
        <w:rPr>
          <w:rStyle w:val="VerbatimChar"/>
        </w:rPr>
        <w:t xml:space="preserve">410</w:t>
      </w:r>
      <w:r>
        <w:t xml:space="preserve">,</w:t>
      </w:r>
      <w:r>
        <w:t xml:space="preserve"> </w:t>
      </w:r>
      <w:r>
        <w:rPr>
          <w:rStyle w:val="VerbatimChar"/>
        </w:rPr>
        <w:t xml:space="preserve">510</w:t>
      </w:r>
      <w:r>
        <w:t xml:space="preserve"> </w:t>
      </w:r>
      <w:r>
        <w:t xml:space="preserve">рекомендуется заполнять подполе типа организации. Это помогает точнее различать коллективы, мероприятия и издательства.</w:t>
      </w:r>
    </w:p>
    <w:p>
      <w:pPr>
        <w:pStyle w:val="BodyText"/>
      </w:pPr>
      <w:r>
        <w:t xml:space="preserve">База используется при вводе коллективов и издательств в электронный каталог. Типичные поля ЭК:</w:t>
      </w:r>
      <w:r>
        <w:t xml:space="preserve"> </w:t>
      </w:r>
      <w:r>
        <w:rPr>
          <w:rStyle w:val="VerbatimChar"/>
        </w:rPr>
        <w:t xml:space="preserve">710</w:t>
      </w:r>
      <w:r>
        <w:t xml:space="preserve">,</w:t>
      </w:r>
      <w:r>
        <w:t xml:space="preserve"> </w:t>
      </w:r>
      <w:r>
        <w:rPr>
          <w:rStyle w:val="VerbatimChar"/>
        </w:rPr>
        <w:t xml:space="preserve">711</w:t>
      </w:r>
      <w:r>
        <w:t xml:space="preserve">,</w:t>
      </w:r>
      <w:r>
        <w:t xml:space="preserve"> </w:t>
      </w:r>
      <w:r>
        <w:rPr>
          <w:rStyle w:val="VerbatimChar"/>
        </w:rPr>
        <w:t xml:space="preserve">961</w:t>
      </w:r>
      <w:r>
        <w:t xml:space="preserve">,</w:t>
      </w:r>
      <w:r>
        <w:t xml:space="preserve"> </w:t>
      </w:r>
      <w:r>
        <w:rPr>
          <w:rStyle w:val="VerbatimChar"/>
        </w:rPr>
        <w:t xml:space="preserve">971</w:t>
      </w:r>
      <w:r>
        <w:t xml:space="preserve">,</w:t>
      </w:r>
      <w:r>
        <w:t xml:space="preserve"> </w:t>
      </w:r>
      <w:r>
        <w:rPr>
          <w:rStyle w:val="VerbatimChar"/>
        </w:rPr>
        <w:t xml:space="preserve">972</w:t>
      </w:r>
      <w:r>
        <w:t xml:space="preserve">,</w:t>
      </w:r>
      <w:r>
        <w:t xml:space="preserve"> </w:t>
      </w:r>
      <w:r>
        <w:rPr>
          <w:rStyle w:val="VerbatimChar"/>
        </w:rPr>
        <w:t xml:space="preserve">962</w:t>
      </w:r>
      <w:r>
        <w:t xml:space="preserve">,</w:t>
      </w:r>
      <w:r>
        <w:t xml:space="preserve"> </w:t>
      </w:r>
      <w:r>
        <w:rPr>
          <w:rStyle w:val="VerbatimChar"/>
        </w:rPr>
        <w:t xml:space="preserve">601</w:t>
      </w:r>
      <w:r>
        <w:t xml:space="preserve">,</w:t>
      </w:r>
      <w:r>
        <w:t xml:space="preserve"> </w:t>
      </w:r>
      <w:r>
        <w:rPr>
          <w:rStyle w:val="VerbatimChar"/>
        </w:rPr>
        <w:t xml:space="preserve">210</w:t>
      </w:r>
      <w:r>
        <w:t xml:space="preserve">,</w:t>
      </w:r>
      <w:r>
        <w:t xml:space="preserve"> </w:t>
      </w:r>
      <w:r>
        <w:rPr>
          <w:rStyle w:val="VerbatimChar"/>
        </w:rPr>
        <w:t xml:space="preserve">461</w:t>
      </w:r>
      <w:r>
        <w:t xml:space="preserve">,</w:t>
      </w:r>
      <w:r>
        <w:t xml:space="preserve"> </w:t>
      </w:r>
      <w:r>
        <w:rPr>
          <w:rStyle w:val="VerbatimChar"/>
        </w:rPr>
        <w:t xml:space="preserve">463</w:t>
      </w:r>
      <w:r>
        <w:t xml:space="preserve">.</w:t>
      </w:r>
    </w:p>
    <w:p>
      <w:pPr>
        <w:pStyle w:val="BodyText"/>
      </w:pPr>
      <w:r>
        <w:t xml:space="preserve">Автоматическое пополнение выполняется при</w:t>
      </w:r>
      <w:r>
        <w:t xml:space="preserve"> </w:t>
      </w:r>
      <w:r>
        <w:rPr>
          <w:rStyle w:val="VerbatimChar"/>
        </w:rPr>
        <w:t xml:space="preserve">MODATHRC=1</w:t>
      </w:r>
      <w:r>
        <w:t xml:space="preserve"> </w:t>
      </w:r>
      <w:r>
        <w:t xml:space="preserve">или заданием</w:t>
      </w:r>
      <w:r>
        <w:t xml:space="preserve"> </w:t>
      </w:r>
      <w:r>
        <w:rPr>
          <w:rStyle w:val="VerbatimChar"/>
        </w:rPr>
        <w:t xml:space="preserve">athrc.gbl</w:t>
      </w:r>
      <w:r>
        <w:t xml:space="preserve">.</w:t>
      </w:r>
    </w:p>
    <w:bookmarkEnd w:id="200"/>
    <w:bookmarkStart w:id="201" w:name="athrs-предметные-рубрики"/>
    <w:p>
      <w:pPr>
        <w:pStyle w:val="Heading4"/>
      </w:pPr>
      <w:r>
        <w:t xml:space="preserve">4.</w:t>
      </w:r>
      <w:r>
        <w:t xml:space="preserve"> </w:t>
      </w:r>
      <w:r>
        <w:rPr>
          <w:rStyle w:val="VerbatimChar"/>
        </w:rPr>
        <w:t xml:space="preserve">ATHRS</w:t>
      </w:r>
      <w:r>
        <w:t xml:space="preserve">: предметные рубрики</w:t>
      </w:r>
    </w:p>
    <w:p>
      <w:pPr>
        <w:pStyle w:val="FirstParagraph"/>
      </w:pPr>
      <w:r>
        <w:rPr>
          <w:rStyle w:val="VerbatimChar"/>
        </w:rPr>
        <w:t xml:space="preserve">ATHRS</w:t>
      </w:r>
      <w:r>
        <w:t xml:space="preserve"> </w:t>
      </w:r>
      <w:r>
        <w:t xml:space="preserve">содержит тематические предметные рубрики, географические рубрики и предметные рубрики, представленные именем лица, родовым именем, именем и заглавием или заглавием.</w:t>
      </w:r>
    </w:p>
    <w:p>
      <w:pPr>
        <w:pStyle w:val="BodyText"/>
      </w:pPr>
      <w:r>
        <w:t xml:space="preserve">Рабочие листы:</w:t>
      </w:r>
    </w:p>
    <w:p>
      <w:pPr>
        <w:pStyle w:val="Compact"/>
        <w:numPr>
          <w:ilvl w:val="0"/>
          <w:numId w:val="1064"/>
        </w:numPr>
      </w:pPr>
      <w:r>
        <w:rPr>
          <w:rStyle w:val="VerbatimChar"/>
        </w:rPr>
        <w:t xml:space="preserve">ATHRS</w:t>
      </w:r>
      <w:r>
        <w:t xml:space="preserve"> </w:t>
      </w:r>
      <w:r>
        <w:t xml:space="preserve">- основная запись на тематическую предметную рубрику;</w:t>
      </w:r>
    </w:p>
    <w:p>
      <w:pPr>
        <w:pStyle w:val="Compact"/>
        <w:numPr>
          <w:ilvl w:val="0"/>
          <w:numId w:val="1064"/>
        </w:numPr>
      </w:pPr>
      <w:r>
        <w:rPr>
          <w:rStyle w:val="VerbatimChar"/>
        </w:rPr>
        <w:t xml:space="preserve">ATHRA</w:t>
      </w:r>
      <w:r>
        <w:t xml:space="preserve"> </w:t>
      </w:r>
      <w:r>
        <w:t xml:space="preserve">- запись, если предметная рубрика представлена именем лица;</w:t>
      </w:r>
    </w:p>
    <w:p>
      <w:pPr>
        <w:pStyle w:val="Compact"/>
        <w:numPr>
          <w:ilvl w:val="0"/>
          <w:numId w:val="1064"/>
        </w:numPr>
      </w:pPr>
      <w:r>
        <w:rPr>
          <w:rStyle w:val="VerbatimChar"/>
        </w:rPr>
        <w:t xml:space="preserve">ATHRC</w:t>
      </w:r>
      <w:r>
        <w:t xml:space="preserve"> </w:t>
      </w:r>
      <w:r>
        <w:t xml:space="preserve">- запись, если предметная рубрика представлена наименованием организации;</w:t>
      </w:r>
    </w:p>
    <w:p>
      <w:pPr>
        <w:pStyle w:val="Compact"/>
        <w:numPr>
          <w:ilvl w:val="0"/>
          <w:numId w:val="1064"/>
        </w:numPr>
      </w:pPr>
      <w:r>
        <w:rPr>
          <w:rStyle w:val="VerbatimChar"/>
        </w:rPr>
        <w:t xml:space="preserve">REF</w:t>
      </w:r>
      <w:r>
        <w:t xml:space="preserve"> </w:t>
      </w:r>
      <w:r>
        <w:t xml:space="preserve">- ссылочная запись;</w:t>
      </w:r>
    </w:p>
    <w:p>
      <w:pPr>
        <w:pStyle w:val="Compact"/>
        <w:numPr>
          <w:ilvl w:val="0"/>
          <w:numId w:val="1064"/>
        </w:numPr>
      </w:pPr>
      <w:r>
        <w:rPr>
          <w:rStyle w:val="VerbatimChar"/>
        </w:rPr>
        <w:t xml:space="preserve">EXP</w:t>
      </w:r>
      <w:r>
        <w:t xml:space="preserve"> </w:t>
      </w:r>
      <w:r>
        <w:t xml:space="preserve">- справочная запись.</w:t>
      </w:r>
    </w:p>
    <w:p>
      <w:pPr>
        <w:pStyle w:val="FirstParagraph"/>
      </w:pPr>
      <w:r>
        <w:t xml:space="preserve">Ссылки</w:t>
      </w:r>
      <w:r>
        <w:t xml:space="preserve"> </w:t>
      </w:r>
      <w:r>
        <w:rPr>
          <w:rStyle w:val="VerbatimChar"/>
        </w:rPr>
        <w:t xml:space="preserve">см.</w:t>
      </w:r>
      <w:r>
        <w:t xml:space="preserve"> </w:t>
      </w:r>
      <w:r>
        <w:t xml:space="preserve">в</w:t>
      </w:r>
      <w:r>
        <w:t xml:space="preserve"> </w:t>
      </w:r>
      <w:r>
        <w:rPr>
          <w:rStyle w:val="VerbatimChar"/>
        </w:rPr>
        <w:t xml:space="preserve">ATHRS</w:t>
      </w:r>
      <w:r>
        <w:t xml:space="preserve"> </w:t>
      </w:r>
      <w:r>
        <w:t xml:space="preserve">допустимы между заголовками одной категории: от имени лица к имени лица, от тематической рубрики к тематической рубрике и т. п. Для связей</w:t>
      </w:r>
      <w:r>
        <w:t xml:space="preserve"> </w:t>
      </w:r>
      <w:r>
        <w:rPr>
          <w:rStyle w:val="VerbatimChar"/>
        </w:rPr>
        <w:t xml:space="preserve">см. также</w:t>
      </w:r>
      <w:r>
        <w:t xml:space="preserve"> </w:t>
      </w:r>
      <w:r>
        <w:t xml:space="preserve">между заголовками разных категорий используются специальные поля, данные из которых при сохранении переносятся в</w:t>
      </w:r>
      <w:r>
        <w:t xml:space="preserve"> </w:t>
      </w:r>
      <w:r>
        <w:rPr>
          <w:rStyle w:val="VerbatimChar"/>
        </w:rPr>
        <w:t xml:space="preserve">510</w:t>
      </w:r>
      <w:r>
        <w:t xml:space="preserve">.</w:t>
      </w:r>
    </w:p>
    <w:p>
      <w:pPr>
        <w:pStyle w:val="BodyText"/>
      </w:pPr>
      <w:r>
        <w:t xml:space="preserve">База используется при вводе предметных и географических рубрик, а также связанных с ними индексов УДК и ББК. Типичные поля ЭК:</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w:t>
      </w:r>
      <w:r>
        <w:t xml:space="preserve"> </w:t>
      </w:r>
      <w:r>
        <w:rPr>
          <w:rStyle w:val="VerbatimChar"/>
        </w:rPr>
        <w:t xml:space="preserve">601</w:t>
      </w:r>
      <w:r>
        <w:t xml:space="preserve">.</w:t>
      </w:r>
    </w:p>
    <w:p>
      <w:pPr>
        <w:pStyle w:val="BodyText"/>
      </w:pPr>
      <w:r>
        <w:t xml:space="preserve">Автоматическое пополнение выполняется при</w:t>
      </w:r>
      <w:r>
        <w:t xml:space="preserve"> </w:t>
      </w:r>
      <w:r>
        <w:rPr>
          <w:rStyle w:val="VerbatimChar"/>
        </w:rPr>
        <w:t xml:space="preserve">MODATHRS=1</w:t>
      </w:r>
      <w:r>
        <w:t xml:space="preserve"> </w:t>
      </w:r>
      <w:r>
        <w:t xml:space="preserve">или заданием</w:t>
      </w:r>
      <w:r>
        <w:t xml:space="preserve"> </w:t>
      </w:r>
      <w:r>
        <w:rPr>
          <w:rStyle w:val="VerbatimChar"/>
        </w:rPr>
        <w:t xml:space="preserve">athrs.gbl</w:t>
      </w:r>
      <w:r>
        <w:t xml:space="preserve">. На время пополнения из электронного каталога режим корректировки</w:t>
      </w:r>
      <w:r>
        <w:t xml:space="preserve"> </w:t>
      </w:r>
      <w:r>
        <w:rPr>
          <w:rStyle w:val="VerbatimChar"/>
        </w:rPr>
        <w:t xml:space="preserve">ATHRS</w:t>
      </w:r>
      <w:r>
        <w:t xml:space="preserve"> </w:t>
      </w:r>
      <w:r>
        <w:t xml:space="preserve">должен быть выключен.</w:t>
      </w:r>
    </w:p>
    <w:p>
      <w:pPr>
        <w:pStyle w:val="BodyText"/>
      </w:pPr>
      <w:r>
        <w:t xml:space="preserve">Если при корректировке рубрики в</w:t>
      </w:r>
      <w:r>
        <w:t xml:space="preserve"> </w:t>
      </w:r>
      <w:r>
        <w:rPr>
          <w:rStyle w:val="VerbatimChar"/>
        </w:rPr>
        <w:t xml:space="preserve">ATHRS</w:t>
      </w:r>
      <w:r>
        <w:t xml:space="preserve"> </w:t>
      </w:r>
      <w:r>
        <w:t xml:space="preserve">нужно автоматически исправлять соответствующие рубрики в ЭК, используется параметр</w:t>
      </w:r>
      <w:r>
        <w:t xml:space="preserve"> </w:t>
      </w:r>
      <w:r>
        <w:rPr>
          <w:rStyle w:val="VerbatimChar"/>
        </w:rPr>
        <w:t xml:space="preserve">ATHRSAK=1</w:t>
      </w:r>
      <w:r>
        <w:t xml:space="preserve">, перестроение словаря ЭК и включение режима корректировки</w:t>
      </w:r>
      <w:r>
        <w:t xml:space="preserve"> </w:t>
      </w:r>
      <w:r>
        <w:rPr>
          <w:rStyle w:val="VerbatimChar"/>
        </w:rPr>
        <w:t xml:space="preserve">ATHRS</w:t>
      </w:r>
      <w:r>
        <w:t xml:space="preserve">. Пополнение</w:t>
      </w:r>
      <w:r>
        <w:t xml:space="preserve"> </w:t>
      </w:r>
      <w:r>
        <w:rPr>
          <w:rStyle w:val="VerbatimChar"/>
        </w:rPr>
        <w:t xml:space="preserve">ATHRS</w:t>
      </w:r>
      <w:r>
        <w:t xml:space="preserve"> </w:t>
      </w:r>
      <w:r>
        <w:t xml:space="preserve">из ЭК и автоматическая корректировка ЭК при правке</w:t>
      </w:r>
      <w:r>
        <w:t xml:space="preserve"> </w:t>
      </w:r>
      <w:r>
        <w:rPr>
          <w:rStyle w:val="VerbatimChar"/>
        </w:rPr>
        <w:t xml:space="preserve">ATHRS</w:t>
      </w:r>
      <w:r>
        <w:t xml:space="preserve"> </w:t>
      </w:r>
      <w:r>
        <w:t xml:space="preserve">требуют разных значений режима</w:t>
      </w:r>
      <w:r>
        <w:t xml:space="preserve"> </w:t>
      </w:r>
      <w:r>
        <w:rPr>
          <w:rStyle w:val="VerbatimChar"/>
        </w:rPr>
        <w:t xml:space="preserve">ATH</w:t>
      </w:r>
      <w:r>
        <w:t xml:space="preserve">, поэтому совместно эти процессы не выполняются.</w:t>
      </w:r>
    </w:p>
    <w:bookmarkEnd w:id="201"/>
    <w:bookmarkStart w:id="202" w:name="athrb-апу-к-ббк"/>
    <w:p>
      <w:pPr>
        <w:pStyle w:val="Heading4"/>
      </w:pPr>
      <w:r>
        <w:t xml:space="preserve">5.</w:t>
      </w:r>
      <w:r>
        <w:t xml:space="preserve"> </w:t>
      </w:r>
      <w:r>
        <w:rPr>
          <w:rStyle w:val="VerbatimChar"/>
        </w:rPr>
        <w:t xml:space="preserve">ATHRB</w:t>
      </w:r>
      <w:r>
        <w:t xml:space="preserve">: АПУ к ББК</w:t>
      </w:r>
    </w:p>
    <w:p>
      <w:pPr>
        <w:pStyle w:val="FirstParagraph"/>
      </w:pPr>
      <w:r>
        <w:rPr>
          <w:rStyle w:val="VerbatimChar"/>
        </w:rPr>
        <w:t xml:space="preserve">ATHRB</w:t>
      </w:r>
      <w:r>
        <w:t xml:space="preserve"> </w:t>
      </w:r>
      <w:r>
        <w:t xml:space="preserve">используется как авторитетная база алфавитно-предметного указателя к ББК. Для ввода используется рабочий лист</w:t>
      </w:r>
      <w:r>
        <w:t xml:space="preserve"> </w:t>
      </w:r>
      <w:r>
        <w:rPr>
          <w:rStyle w:val="VerbatimChar"/>
        </w:rPr>
        <w:t xml:space="preserve">ATHRB</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ББК в поле</w:t>
      </w:r>
      <w:r>
        <w:t xml:space="preserve"> </w:t>
      </w:r>
      <w:r>
        <w:rPr>
          <w:rStyle w:val="VerbatimChar"/>
        </w:rPr>
        <w:t xml:space="preserve">621</w:t>
      </w:r>
      <w:r>
        <w:t xml:space="preserve">. Автоматическое пополнение выполняется при</w:t>
      </w:r>
      <w:r>
        <w:t xml:space="preserve"> </w:t>
      </w:r>
      <w:r>
        <w:rPr>
          <w:rStyle w:val="VerbatimChar"/>
        </w:rPr>
        <w:t xml:space="preserve">MODATHRB=1</w:t>
      </w:r>
      <w:r>
        <w:t xml:space="preserve"> </w:t>
      </w:r>
      <w:r>
        <w:t xml:space="preserve">или заданием</w:t>
      </w:r>
      <w:r>
        <w:t xml:space="preserve"> </w:t>
      </w:r>
      <w:r>
        <w:rPr>
          <w:rStyle w:val="VerbatimChar"/>
        </w:rPr>
        <w:t xml:space="preserve">athrb.gbl</w:t>
      </w:r>
      <w:r>
        <w:t xml:space="preserve">; в базу включаются оригинальные индексы ББК, в которых заполнено подполе с текстом.</w:t>
      </w:r>
    </w:p>
    <w:bookmarkEnd w:id="202"/>
    <w:bookmarkStart w:id="203" w:name="athru-апу-к-удк"/>
    <w:p>
      <w:pPr>
        <w:pStyle w:val="Heading4"/>
      </w:pPr>
      <w:r>
        <w:t xml:space="preserve">6.</w:t>
      </w:r>
      <w:r>
        <w:t xml:space="preserve"> </w:t>
      </w:r>
      <w:r>
        <w:rPr>
          <w:rStyle w:val="VerbatimChar"/>
        </w:rPr>
        <w:t xml:space="preserve">ATHRU</w:t>
      </w:r>
      <w:r>
        <w:t xml:space="preserve">: АПУ к УДК</w:t>
      </w:r>
    </w:p>
    <w:p>
      <w:pPr>
        <w:pStyle w:val="FirstParagraph"/>
      </w:pPr>
      <w:r>
        <w:rPr>
          <w:rStyle w:val="VerbatimChar"/>
        </w:rPr>
        <w:t xml:space="preserve">ATHRU</w:t>
      </w:r>
      <w:r>
        <w:t xml:space="preserve"> </w:t>
      </w:r>
      <w:r>
        <w:t xml:space="preserve">используется как авторитетная база алфавитно-предметного указателя к УДК. Для ввода используется рабочий лист</w:t>
      </w:r>
      <w:r>
        <w:t xml:space="preserve"> </w:t>
      </w:r>
      <w:r>
        <w:rPr>
          <w:rStyle w:val="VerbatimChar"/>
        </w:rPr>
        <w:t xml:space="preserve">ATHRU</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УДК в поле</w:t>
      </w:r>
      <w:r>
        <w:t xml:space="preserve"> </w:t>
      </w:r>
      <w:r>
        <w:rPr>
          <w:rStyle w:val="VerbatimChar"/>
        </w:rPr>
        <w:t xml:space="preserve">675</w:t>
      </w:r>
      <w:r>
        <w:t xml:space="preserve">. Автоматическое пополнение выполняется при</w:t>
      </w:r>
      <w:r>
        <w:t xml:space="preserve"> </w:t>
      </w:r>
      <w:r>
        <w:rPr>
          <w:rStyle w:val="VerbatimChar"/>
        </w:rPr>
        <w:t xml:space="preserve">MODATHRU=1</w:t>
      </w:r>
      <w:r>
        <w:t xml:space="preserve"> </w:t>
      </w:r>
      <w:r>
        <w:t xml:space="preserve">или заданием</w:t>
      </w:r>
      <w:r>
        <w:t xml:space="preserve"> </w:t>
      </w:r>
      <w:r>
        <w:rPr>
          <w:rStyle w:val="VerbatimChar"/>
        </w:rPr>
        <w:t xml:space="preserve">athru.gbl</w:t>
      </w:r>
      <w:r>
        <w:t xml:space="preserve">; в базу включаются оригинальные индексы УДК, в которых заполнено подполе с текстом.</w:t>
      </w:r>
    </w:p>
    <w:bookmarkEnd w:id="203"/>
    <w:bookmarkStart w:id="204" w:name="athrg-географические-названия"/>
    <w:p>
      <w:pPr>
        <w:pStyle w:val="Heading4"/>
      </w:pPr>
      <w:r>
        <w:t xml:space="preserve">7.</w:t>
      </w:r>
      <w:r>
        <w:t xml:space="preserve"> </w:t>
      </w:r>
      <w:r>
        <w:rPr>
          <w:rStyle w:val="VerbatimChar"/>
        </w:rPr>
        <w:t xml:space="preserve">ATHRG</w:t>
      </w:r>
      <w:r>
        <w:t xml:space="preserve">: географические названия</w:t>
      </w:r>
    </w:p>
    <w:p>
      <w:pPr>
        <w:pStyle w:val="FirstParagraph"/>
      </w:pPr>
      <w:r>
        <w:rPr>
          <w:rStyle w:val="VerbatimChar"/>
        </w:rPr>
        <w:t xml:space="preserve">ATHRG</w:t>
      </w:r>
      <w:r>
        <w:t xml:space="preserve"> </w:t>
      </w:r>
      <w:r>
        <w:t xml:space="preserve">предназначена для авторитетных записей на географические названия.</w:t>
      </w:r>
    </w:p>
    <w:p>
      <w:pPr>
        <w:pStyle w:val="BodyText"/>
      </w:pPr>
      <w:r>
        <w:t xml:space="preserve">Рабочие листы:</w:t>
      </w:r>
    </w:p>
    <w:p>
      <w:pPr>
        <w:pStyle w:val="Compact"/>
        <w:numPr>
          <w:ilvl w:val="0"/>
          <w:numId w:val="1065"/>
        </w:numPr>
      </w:pPr>
      <w:r>
        <w:rPr>
          <w:rStyle w:val="VerbatimChar"/>
        </w:rPr>
        <w:t xml:space="preserve">ATHRG</w:t>
      </w:r>
      <w:r>
        <w:t xml:space="preserve"> </w:t>
      </w:r>
      <w:r>
        <w:t xml:space="preserve">- основная запись на географическое название;</w:t>
      </w:r>
    </w:p>
    <w:p>
      <w:pPr>
        <w:pStyle w:val="Compact"/>
        <w:numPr>
          <w:ilvl w:val="0"/>
          <w:numId w:val="1065"/>
        </w:numPr>
      </w:pPr>
      <w:r>
        <w:rPr>
          <w:rStyle w:val="VerbatimChar"/>
        </w:rPr>
        <w:t xml:space="preserve">REF</w:t>
      </w:r>
      <w:r>
        <w:t xml:space="preserve"> </w:t>
      </w:r>
      <w:r>
        <w:t xml:space="preserve">- ссылочная запись;</w:t>
      </w:r>
    </w:p>
    <w:p>
      <w:pPr>
        <w:pStyle w:val="Compact"/>
        <w:numPr>
          <w:ilvl w:val="0"/>
          <w:numId w:val="1065"/>
        </w:numPr>
      </w:pPr>
      <w:r>
        <w:rPr>
          <w:rStyle w:val="VerbatimChar"/>
        </w:rPr>
        <w:t xml:space="preserve">EXP</w:t>
      </w:r>
      <w:r>
        <w:t xml:space="preserve"> </w:t>
      </w:r>
      <w:r>
        <w:t xml:space="preserve">- справочная запись.</w:t>
      </w:r>
    </w:p>
    <w:p>
      <w:pPr>
        <w:pStyle w:val="FirstParagraph"/>
      </w:pPr>
      <w:r>
        <w:t xml:space="preserve">Поле</w:t>
      </w:r>
      <w:r>
        <w:t xml:space="preserve"> </w:t>
      </w:r>
      <w:r>
        <w:rPr>
          <w:rStyle w:val="VerbatimChar"/>
        </w:rPr>
        <w:t xml:space="preserve">410</w:t>
      </w:r>
      <w:r>
        <w:t xml:space="preserve"> </w:t>
      </w:r>
      <w:r>
        <w:t xml:space="preserve">формирует ссылку</w:t>
      </w:r>
      <w:r>
        <w:t xml:space="preserve"> </w:t>
      </w:r>
      <w:r>
        <w:rPr>
          <w:rStyle w:val="VerbatimChar"/>
        </w:rPr>
        <w:t xml:space="preserve">см.</w:t>
      </w:r>
      <w:r>
        <w:t xml:space="preserve"> </w:t>
      </w:r>
      <w:r>
        <w:t xml:space="preserve">к принятому географическому названию; такие вариантные названия не должны быть заголовками других авторитетных записей и не переносятся в ЭК. Поле</w:t>
      </w:r>
      <w:r>
        <w:t xml:space="preserve"> </w:t>
      </w:r>
      <w:r>
        <w:rPr>
          <w:rStyle w:val="VerbatimChar"/>
        </w:rPr>
        <w:t xml:space="preserve">510</w:t>
      </w:r>
      <w:r>
        <w:t xml:space="preserve"> </w:t>
      </w:r>
      <w:r>
        <w:t xml:space="preserve">формирует ссылку</w:t>
      </w:r>
      <w:r>
        <w:t xml:space="preserve"> </w:t>
      </w:r>
      <w:r>
        <w:rPr>
          <w:rStyle w:val="VerbatimChar"/>
        </w:rPr>
        <w:t xml:space="preserve">см. также</w:t>
      </w:r>
      <w:r>
        <w:t xml:space="preserve"> </w:t>
      </w:r>
      <w:r>
        <w:t xml:space="preserve">между принятыми географическими названиями.</w:t>
      </w:r>
    </w:p>
    <w:p>
      <w:pPr>
        <w:pStyle w:val="BodyText"/>
      </w:pPr>
      <w:r>
        <w:t xml:space="preserve">База используется при вводе сведений о картографическом материале, прежде всего в поле</w:t>
      </w:r>
      <w:r>
        <w:t xml:space="preserve"> </w:t>
      </w:r>
      <w:r>
        <w:rPr>
          <w:rStyle w:val="VerbatimChar"/>
        </w:rPr>
        <w:t xml:space="preserve">509</w:t>
      </w:r>
      <w:r>
        <w:t xml:space="preserve">. Автоматическое пополнение выполняется при</w:t>
      </w:r>
      <w:r>
        <w:t xml:space="preserve"> </w:t>
      </w:r>
      <w:r>
        <w:rPr>
          <w:rStyle w:val="VerbatimChar"/>
        </w:rPr>
        <w:t xml:space="preserve">MODATHRG=1</w:t>
      </w:r>
      <w:r>
        <w:t xml:space="preserve"> </w:t>
      </w:r>
      <w:r>
        <w:t xml:space="preserve">или заданием</w:t>
      </w:r>
      <w:r>
        <w:t xml:space="preserve"> </w:t>
      </w:r>
      <w:r>
        <w:rPr>
          <w:rStyle w:val="VerbatimChar"/>
        </w:rPr>
        <w:t xml:space="preserve">athrg.gbl</w:t>
      </w:r>
      <w:r>
        <w:t xml:space="preserve">; в базу включаются оригинальные географические наименования из поля</w:t>
      </w:r>
      <w:r>
        <w:t xml:space="preserve"> </w:t>
      </w:r>
      <w:r>
        <w:rPr>
          <w:rStyle w:val="VerbatimChar"/>
        </w:rPr>
        <w:t xml:space="preserve">509</w:t>
      </w:r>
      <w:r>
        <w:t xml:space="preserve">.</w:t>
      </w:r>
    </w:p>
    <w:bookmarkEnd w:id="204"/>
    <w:bookmarkStart w:id="205" w:name="контроль-актуальности"/>
    <w:p>
      <w:pPr>
        <w:pStyle w:val="Heading4"/>
      </w:pPr>
      <w:r>
        <w:t xml:space="preserve">8. Контроль актуальности</w:t>
      </w:r>
    </w:p>
    <w:p>
      <w:pPr>
        <w:pStyle w:val="FirstParagraph"/>
      </w:pPr>
      <w:r>
        <w:t xml:space="preserve">Перед внедрением технологии авторитетных баз нужно проверить:</w:t>
      </w:r>
    </w:p>
    <w:p>
      <w:pPr>
        <w:pStyle w:val="Compact"/>
        <w:numPr>
          <w:ilvl w:val="0"/>
          <w:numId w:val="1066"/>
        </w:numPr>
      </w:pPr>
      <w:r>
        <w:t xml:space="preserve">какие имена баз заданы в параметрах</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w:t>
      </w:r>
    </w:p>
    <w:p>
      <w:pPr>
        <w:pStyle w:val="Compact"/>
        <w:numPr>
          <w:ilvl w:val="0"/>
          <w:numId w:val="1066"/>
        </w:numPr>
      </w:pPr>
      <w:r>
        <w:t xml:space="preserve">какие авторитетные базы реально созданы и доступны пользователям;</w:t>
      </w:r>
    </w:p>
    <w:p>
      <w:pPr>
        <w:pStyle w:val="Compact"/>
        <w:numPr>
          <w:ilvl w:val="0"/>
          <w:numId w:val="1066"/>
        </w:numPr>
      </w:pPr>
      <w:r>
        <w:t xml:space="preserve">включены ли параметры автоматического пополнения</w:t>
      </w:r>
      <w:r>
        <w:t xml:space="preserve"> </w:t>
      </w:r>
      <w:r>
        <w:rPr>
          <w:rStyle w:val="VerbatimChar"/>
        </w:rPr>
        <w:t xml:space="preserve">MODATHRA</w:t>
      </w:r>
      <w:r>
        <w:t xml:space="preserve">,</w:t>
      </w:r>
      <w:r>
        <w:t xml:space="preserve"> </w:t>
      </w:r>
      <w:r>
        <w:rPr>
          <w:rStyle w:val="VerbatimChar"/>
        </w:rPr>
        <w:t xml:space="preserve">MODATHRC</w:t>
      </w:r>
      <w:r>
        <w:t xml:space="preserve">,</w:t>
      </w:r>
      <w:r>
        <w:t xml:space="preserve"> </w:t>
      </w:r>
      <w:r>
        <w:rPr>
          <w:rStyle w:val="VerbatimChar"/>
        </w:rPr>
        <w:t xml:space="preserve">MODATHRS</w:t>
      </w:r>
      <w:r>
        <w:t xml:space="preserve">,</w:t>
      </w:r>
      <w:r>
        <w:t xml:space="preserve"> </w:t>
      </w:r>
      <w:r>
        <w:rPr>
          <w:rStyle w:val="VerbatimChar"/>
        </w:rPr>
        <w:t xml:space="preserve">MODATHRB</w:t>
      </w:r>
      <w:r>
        <w:t xml:space="preserve">,</w:t>
      </w:r>
      <w:r>
        <w:t xml:space="preserve"> </w:t>
      </w:r>
      <w:r>
        <w:rPr>
          <w:rStyle w:val="VerbatimChar"/>
        </w:rPr>
        <w:t xml:space="preserve">MODATHRU</w:t>
      </w:r>
      <w:r>
        <w:t xml:space="preserve">,</w:t>
      </w:r>
      <w:r>
        <w:t xml:space="preserve"> </w:t>
      </w:r>
      <w:r>
        <w:rPr>
          <w:rStyle w:val="VerbatimChar"/>
        </w:rPr>
        <w:t xml:space="preserve">MODATHRG</w:t>
      </w:r>
      <w:r>
        <w:t xml:space="preserve">;</w:t>
      </w:r>
    </w:p>
    <w:p>
      <w:pPr>
        <w:pStyle w:val="Compact"/>
        <w:numPr>
          <w:ilvl w:val="0"/>
          <w:numId w:val="1066"/>
        </w:numPr>
      </w:pPr>
      <w:r>
        <w:t xml:space="preserve">какие поля электронного каталога обращаются к авторитетным базам в текущих рабочих листах;</w:t>
      </w:r>
    </w:p>
    <w:p>
      <w:pPr>
        <w:pStyle w:val="Compact"/>
        <w:numPr>
          <w:ilvl w:val="0"/>
          <w:numId w:val="1066"/>
        </w:numPr>
      </w:pPr>
      <w:r>
        <w:t xml:space="preserve">требуется ли автоматическая корректировка рубрик ЭК при правке</w:t>
      </w:r>
      <w:r>
        <w:t xml:space="preserve"> </w:t>
      </w:r>
      <w:r>
        <w:rPr>
          <w:rStyle w:val="VerbatimChar"/>
        </w:rPr>
        <w:t xml:space="preserve">ATHRS</w:t>
      </w:r>
      <w:r>
        <w:t xml:space="preserve">;</w:t>
      </w:r>
    </w:p>
    <w:p>
      <w:pPr>
        <w:pStyle w:val="Compact"/>
        <w:numPr>
          <w:ilvl w:val="0"/>
          <w:numId w:val="1066"/>
        </w:numPr>
      </w:pPr>
      <w:r>
        <w:t xml:space="preserve">перестроены ли словари после изменения режима работы с авторитетными базами.</w:t>
      </w:r>
    </w:p>
    <w:bookmarkEnd w:id="205"/>
    <w:bookmarkEnd w:id="206"/>
    <w:bookmarkStart w:id="210" w:name="специальные-базы-данных"/>
    <w:p>
      <w:pPr>
        <w:pStyle w:val="Heading3"/>
      </w:pPr>
      <w:r>
        <w:t xml:space="preserve">Специальные базы данных</w:t>
      </w:r>
    </w:p>
    <w:p>
      <w:pPr>
        <w:pStyle w:val="FirstParagraph"/>
      </w:pPr>
      <w:r>
        <w:t xml:space="preserve">Этот раздел описывает специальные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которые упоминаются в методике ввода библиографических записей и присутствуют в текущей поставке. Перед внедрением в конкретной организации нужно проверить, что соответствующие базы подключены в настройках и доступны пользователям.</w:t>
      </w:r>
    </w:p>
    <w:bookmarkStart w:id="207" w:name="kzd-календарь-знаменательных-дат"/>
    <w:p>
      <w:pPr>
        <w:pStyle w:val="Heading4"/>
      </w:pPr>
      <w:r>
        <w:t xml:space="preserve">1.</w:t>
      </w:r>
      <w:r>
        <w:t xml:space="preserve"> </w:t>
      </w:r>
      <w:r>
        <w:rPr>
          <w:rStyle w:val="VerbatimChar"/>
        </w:rPr>
        <w:t xml:space="preserve">KZD</w:t>
      </w:r>
      <w:r>
        <w:t xml:space="preserve">: календарь знаменательных дат</w:t>
      </w:r>
    </w:p>
    <w:p>
      <w:pPr>
        <w:pStyle w:val="FirstParagraph"/>
      </w:pPr>
      <w:r>
        <w:t xml:space="preserve">База</w:t>
      </w:r>
      <w:r>
        <w:t xml:space="preserve"> </w:t>
      </w:r>
      <w:r>
        <w:rPr>
          <w:rStyle w:val="VerbatimChar"/>
        </w:rPr>
        <w:t xml:space="preserve">KZD</w:t>
      </w:r>
      <w:r>
        <w:t xml:space="preserve"> </w:t>
      </w:r>
      <w:r>
        <w:t xml:space="preserve">предназначена для ведения календаря знаменательных дат. В ней описываются:</w:t>
      </w:r>
    </w:p>
    <w:p>
      <w:pPr>
        <w:pStyle w:val="Compact"/>
        <w:numPr>
          <w:ilvl w:val="0"/>
          <w:numId w:val="1067"/>
        </w:numPr>
      </w:pPr>
      <w:r>
        <w:t xml:space="preserve">персоны;</w:t>
      </w:r>
    </w:p>
    <w:p>
      <w:pPr>
        <w:pStyle w:val="Compact"/>
        <w:numPr>
          <w:ilvl w:val="0"/>
          <w:numId w:val="1067"/>
        </w:numPr>
      </w:pPr>
      <w:r>
        <w:t xml:space="preserve">предметы, например книги или произведения живописи;</w:t>
      </w:r>
    </w:p>
    <w:p>
      <w:pPr>
        <w:pStyle w:val="Compact"/>
        <w:numPr>
          <w:ilvl w:val="0"/>
          <w:numId w:val="1067"/>
        </w:numPr>
      </w:pPr>
      <w:r>
        <w:t xml:space="preserve">мероприятия, например выставки и конференции;</w:t>
      </w:r>
    </w:p>
    <w:p>
      <w:pPr>
        <w:pStyle w:val="Compact"/>
        <w:numPr>
          <w:ilvl w:val="0"/>
          <w:numId w:val="1067"/>
        </w:numPr>
      </w:pPr>
      <w:r>
        <w:t xml:space="preserve">события, включая праздники, культурные и исторические даты.</w:t>
      </w:r>
    </w:p>
    <w:p>
      <w:pPr>
        <w:pStyle w:val="FirstParagraph"/>
      </w:pPr>
      <w:r>
        <w:t xml:space="preserve">Для части объектов подготовлены подробные рабочие листы. Другие объекты могут описываться минимально: название, аннотация и даты для календаря.</w:t>
      </w:r>
    </w:p>
    <w:p>
      <w:pPr>
        <w:pStyle w:val="BodyText"/>
      </w:pPr>
      <w:r>
        <w:t xml:space="preserve">Обязательное поле для всех записей -</w:t>
      </w:r>
      <w:r>
        <w:t xml:space="preserve"> </w:t>
      </w:r>
      <w:r>
        <w:rPr>
          <w:rStyle w:val="VerbatimChar"/>
        </w:rPr>
        <w:t xml:space="preserve">Даты для КЗД</w:t>
      </w:r>
      <w:r>
        <w:t xml:space="preserve">. В нём фиксируется дата события и интервал, через который отмечается юбилей. На основе этого поля формируются специальные словари:</w:t>
      </w:r>
    </w:p>
    <w:p>
      <w:pPr>
        <w:pStyle w:val="Compact"/>
        <w:numPr>
          <w:ilvl w:val="0"/>
          <w:numId w:val="1068"/>
        </w:numPr>
      </w:pPr>
      <w:r>
        <w:t xml:space="preserve">год, месяц и день события;</w:t>
      </w:r>
    </w:p>
    <w:p>
      <w:pPr>
        <w:pStyle w:val="Compact"/>
        <w:numPr>
          <w:ilvl w:val="0"/>
          <w:numId w:val="1068"/>
        </w:numPr>
      </w:pPr>
      <w:r>
        <w:t xml:space="preserve">месяц и день для группировки событий по календарным датам;</w:t>
      </w:r>
    </w:p>
    <w:p>
      <w:pPr>
        <w:pStyle w:val="Compact"/>
        <w:numPr>
          <w:ilvl w:val="0"/>
          <w:numId w:val="1068"/>
        </w:numPr>
      </w:pPr>
      <w:r>
        <w:t xml:space="preserve">юбилеи текущего года;</w:t>
      </w:r>
    </w:p>
    <w:p>
      <w:pPr>
        <w:pStyle w:val="Compact"/>
        <w:numPr>
          <w:ilvl w:val="0"/>
          <w:numId w:val="1068"/>
        </w:numPr>
      </w:pPr>
      <w:r>
        <w:t xml:space="preserve">события, до юбилея которых осталось заданное число лет.</w:t>
      </w:r>
    </w:p>
    <w:p>
      <w:pPr>
        <w:pStyle w:val="FirstParagraph"/>
      </w:pPr>
      <w:r>
        <w:t xml:space="preserve">Словари, зависящие от текущего года, нужно перестраивать в начале каждого календарного года. Иначе подборки юбилеев и событий будущих лет перестают быть актуальными.</w:t>
      </w:r>
    </w:p>
    <w:p>
      <w:pPr>
        <w:pStyle w:val="BodyText"/>
      </w:pPr>
      <w:r>
        <w:t xml:space="preserve">Записи</w:t>
      </w:r>
      <w:r>
        <w:t xml:space="preserve"> </w:t>
      </w:r>
      <w:r>
        <w:rPr>
          <w:rStyle w:val="VerbatimChar"/>
        </w:rPr>
        <w:t xml:space="preserve">KZD</w:t>
      </w:r>
      <w:r>
        <w:t xml:space="preserve"> </w:t>
      </w:r>
      <w:r>
        <w:t xml:space="preserve">могут ссылаться на связанные документы текущей базы или других баз, включая электронный каталог. Например, запись выставки может ссылаться на каталог этой выставки. Для библиографии используется поле</w:t>
      </w:r>
      <w:r>
        <w:t xml:space="preserve"> </w:t>
      </w:r>
      <w:r>
        <w:rPr>
          <w:rStyle w:val="VerbatimChar"/>
        </w:rPr>
        <w:t xml:space="preserve">320</w:t>
      </w:r>
      <w:r>
        <w:t xml:space="preserve">, которое может формироваться с переносом краткого библиографического описания из записей электронного каталога. База для заимствования задаётся в настройке.</w:t>
      </w:r>
    </w:p>
    <w:p>
      <w:pPr>
        <w:pStyle w:val="BodyText"/>
      </w:pPr>
      <w:r>
        <w:t xml:space="preserve">Также поддерживается связь записи</w:t>
      </w:r>
      <w:r>
        <w:t xml:space="preserve"> </w:t>
      </w:r>
      <w:r>
        <w:rPr>
          <w:rStyle w:val="VerbatimChar"/>
        </w:rPr>
        <w:t xml:space="preserve">KZD</w:t>
      </w:r>
      <w:r>
        <w:t xml:space="preserve"> </w:t>
      </w:r>
      <w:r>
        <w:t xml:space="preserve">с документом-источником, где опубликована нужная статья: источником могут быть поля оглавления выпуска журнала или содержания сборника.</w:t>
      </w:r>
    </w:p>
    <w:p>
      <w:pPr>
        <w:pStyle w:val="BodyText"/>
      </w:pPr>
      <w:r>
        <w:t xml:space="preserve">Для</w:t>
      </w:r>
      <w:r>
        <w:t xml:space="preserve"> </w:t>
      </w:r>
      <w:r>
        <w:rPr>
          <w:rStyle w:val="VerbatimChar"/>
        </w:rPr>
        <w:t xml:space="preserve">KZD</w:t>
      </w:r>
      <w:r>
        <w:t xml:space="preserve"> </w:t>
      </w:r>
      <w:r>
        <w:t xml:space="preserve">подготовлены выходные формы:</w:t>
      </w:r>
    </w:p>
    <w:p>
      <w:pPr>
        <w:pStyle w:val="Compact"/>
        <w:numPr>
          <w:ilvl w:val="0"/>
          <w:numId w:val="1069"/>
        </w:numPr>
      </w:pPr>
      <w:r>
        <w:rPr>
          <w:rStyle w:val="VerbatimChar"/>
        </w:rPr>
        <w:t xml:space="preserve">CALENDAR</w:t>
      </w:r>
      <w:r>
        <w:t xml:space="preserve"> </w:t>
      </w:r>
      <w:r>
        <w:t xml:space="preserve">- календарь с сортировкой по месяцам, кратким описанием события и полной аннотацией;</w:t>
      </w:r>
    </w:p>
    <w:p>
      <w:pPr>
        <w:pStyle w:val="Compact"/>
        <w:numPr>
          <w:ilvl w:val="0"/>
          <w:numId w:val="1069"/>
        </w:numPr>
      </w:pPr>
      <w:r>
        <w:rPr>
          <w:rStyle w:val="VerbatimChar"/>
        </w:rPr>
        <w:t xml:space="preserve">UKT</w:t>
      </w:r>
      <w:r>
        <w:t xml:space="preserve"> </w:t>
      </w:r>
      <w:r>
        <w:t xml:space="preserve">- указатель событий по тематике с размножением рубрик и событий, если в одной записи несколько рубрик и несколько календарных дат.</w:t>
      </w:r>
    </w:p>
    <w:p>
      <w:pPr>
        <w:pStyle w:val="FirstParagraph"/>
      </w:pPr>
      <w:r>
        <w:t xml:space="preserve">Табличные формы</w:t>
      </w:r>
      <w:r>
        <w:t xml:space="preserve"> </w:t>
      </w:r>
      <w:r>
        <w:rPr>
          <w:rStyle w:val="VerbatimChar"/>
        </w:rPr>
        <w:t xml:space="preserve">KZD</w:t>
      </w:r>
      <w:r>
        <w:t xml:space="preserve"> </w:t>
      </w:r>
      <w:r>
        <w:t xml:space="preserve">используют комбинации повторяющихся полей, поэтому их нельзя корректировать как обычную форму, полностью построенную генератором форматов. Для просмотра подготовлены HTML-форматы</w:t>
      </w:r>
      <w:r>
        <w:t xml:space="preserve"> </w:t>
      </w:r>
      <w:r>
        <w:rPr>
          <w:rStyle w:val="VerbatimChar"/>
        </w:rPr>
        <w:t xml:space="preserve">kzd_h.pft</w:t>
      </w:r>
      <w:r>
        <w:t xml:space="preserve"> </w:t>
      </w:r>
      <w:r>
        <w:t xml:space="preserve">и</w:t>
      </w:r>
      <w:r>
        <w:t xml:space="preserve"> </w:t>
      </w:r>
      <w:r>
        <w:rPr>
          <w:rStyle w:val="VerbatimChar"/>
        </w:rPr>
        <w:t xml:space="preserve">kzd_h_uni.pft</w:t>
      </w:r>
      <w:r>
        <w:t xml:space="preserve">; второй вариант показывает графические внешние файлы непосредственно в формате.</w:t>
      </w:r>
    </w:p>
    <w:p>
      <w:pPr>
        <w:pStyle w:val="BodyText"/>
      </w:pPr>
      <w:r>
        <w:t xml:space="preserve">В текущей поставке материалы базы находятся в</w:t>
      </w:r>
      <w:r>
        <w:t xml:space="preserve"> </w:t>
      </w:r>
      <w:r>
        <w:rPr>
          <w:rStyle w:val="VerbatimChar"/>
        </w:rPr>
        <w:t xml:space="preserve">modules/i128f/Distr/datai/kzd</w:t>
      </w:r>
      <w:r>
        <w:t xml:space="preserve">, включая рабочие листы</w:t>
      </w:r>
      <w:r>
        <w:t xml:space="preserve"> </w:t>
      </w:r>
      <w:r>
        <w:rPr>
          <w:rStyle w:val="VerbatimChar"/>
        </w:rPr>
        <w:t xml:space="preserve">pers.ws</w:t>
      </w:r>
      <w:r>
        <w:t xml:space="preserve">,</w:t>
      </w:r>
      <w:r>
        <w:t xml:space="preserve"> </w:t>
      </w:r>
      <w:r>
        <w:rPr>
          <w:rStyle w:val="VerbatimChar"/>
        </w:rPr>
        <w:t xml:space="preserve">predm.ws</w:t>
      </w:r>
      <w:r>
        <w:t xml:space="preserve">,</w:t>
      </w:r>
      <w:r>
        <w:t xml:space="preserve"> </w:t>
      </w:r>
      <w:r>
        <w:rPr>
          <w:rStyle w:val="VerbatimChar"/>
        </w:rPr>
        <w:t xml:space="preserve">sob.ws</w:t>
      </w:r>
      <w:r>
        <w:t xml:space="preserve">,</w:t>
      </w:r>
      <w:r>
        <w:t xml:space="preserve"> </w:t>
      </w:r>
      <w:r>
        <w:rPr>
          <w:rStyle w:val="VerbatimChar"/>
        </w:rPr>
        <w:t xml:space="preserve">kf.ws</w:t>
      </w:r>
      <w:r>
        <w:t xml:space="preserve">,</w:t>
      </w:r>
      <w:r>
        <w:t xml:space="preserve"> </w:t>
      </w:r>
      <w:r>
        <w:rPr>
          <w:rStyle w:val="VerbatimChar"/>
        </w:rPr>
        <w:t xml:space="preserve">vs.ws</w:t>
      </w:r>
      <w:r>
        <w:t xml:space="preserve">, форматы</w:t>
      </w:r>
      <w:r>
        <w:t xml:space="preserve"> </w:t>
      </w:r>
      <w:r>
        <w:rPr>
          <w:rStyle w:val="VerbatimChar"/>
        </w:rPr>
        <w:t xml:space="preserve">kzd_h.pft</w:t>
      </w:r>
      <w:r>
        <w:t xml:space="preserve">,</w:t>
      </w:r>
      <w:r>
        <w:t xml:space="preserve"> </w:t>
      </w:r>
      <w:r>
        <w:rPr>
          <w:rStyle w:val="VerbatimChar"/>
        </w:rPr>
        <w:t xml:space="preserve">kzd_h_uni.pft</w:t>
      </w:r>
      <w:r>
        <w:t xml:space="preserve"> </w:t>
      </w:r>
      <w:r>
        <w:t xml:space="preserve">и табличные формы</w:t>
      </w:r>
      <w:r>
        <w:t xml:space="preserve"> </w:t>
      </w:r>
      <w:r>
        <w:rPr>
          <w:rStyle w:val="VerbatimChar"/>
        </w:rPr>
        <w:t xml:space="preserve">calendar</w:t>
      </w:r>
      <w:r>
        <w:t xml:space="preserve">/</w:t>
      </w:r>
      <w:r>
        <w:rPr>
          <w:rStyle w:val="VerbatimChar"/>
        </w:rPr>
        <w:t xml:space="preserve">ukt</w:t>
      </w:r>
      <w:r>
        <w:t xml:space="preserve">.</w:t>
      </w:r>
    </w:p>
    <w:bookmarkEnd w:id="207"/>
    <w:bookmarkStart w:id="208" w:name="arch-технический-архив"/>
    <w:p>
      <w:pPr>
        <w:pStyle w:val="Heading4"/>
      </w:pPr>
      <w:r>
        <w:t xml:space="preserve">2.</w:t>
      </w:r>
      <w:r>
        <w:t xml:space="preserve"> </w:t>
      </w:r>
      <w:r>
        <w:rPr>
          <w:rStyle w:val="VerbatimChar"/>
        </w:rPr>
        <w:t xml:space="preserve">ARCH</w:t>
      </w:r>
      <w:r>
        <w:t xml:space="preserve">: технический архив</w:t>
      </w:r>
    </w:p>
    <w:p>
      <w:pPr>
        <w:pStyle w:val="FirstParagraph"/>
      </w:pPr>
      <w:r>
        <w:t xml:space="preserve">База</w:t>
      </w:r>
      <w:r>
        <w:t xml:space="preserve"> </w:t>
      </w:r>
      <w:r>
        <w:rPr>
          <w:rStyle w:val="VerbatimChar"/>
        </w:rPr>
        <w:t xml:space="preserve">ARCH</w:t>
      </w:r>
      <w:r>
        <w:t xml:space="preserve"> </w:t>
      </w:r>
      <w:r>
        <w:t xml:space="preserve">ориентирована на задачи технического архива предприятия и работу с проектно-конструкторской технической документацией.</w:t>
      </w:r>
    </w:p>
    <w:p>
      <w:pPr>
        <w:pStyle w:val="BodyText"/>
      </w:pPr>
      <w:r>
        <w:t xml:space="preserve">Структура</w:t>
      </w:r>
      <w:r>
        <w:t xml:space="preserve"> </w:t>
      </w:r>
      <w:r>
        <w:rPr>
          <w:rStyle w:val="VerbatimChar"/>
        </w:rPr>
        <w:t xml:space="preserve">ARCH</w:t>
      </w:r>
      <w:r>
        <w:t xml:space="preserve"> </w:t>
      </w:r>
      <w:r>
        <w:t xml:space="preserve">основана на электронном каталоге, а рабочий лист</w:t>
      </w:r>
      <w:r>
        <w:t xml:space="preserve"> </w:t>
      </w:r>
      <w:r>
        <w:rPr>
          <w:rStyle w:val="VerbatimChar"/>
        </w:rPr>
        <w:t xml:space="preserve">ARCH</w:t>
      </w:r>
      <w:r>
        <w:t xml:space="preserve"> </w:t>
      </w:r>
      <w:r>
        <w:t xml:space="preserve">близок к</w:t>
      </w:r>
      <w:r>
        <w:t xml:space="preserve"> </w:t>
      </w:r>
      <w:r>
        <w:rPr>
          <w:rStyle w:val="VerbatimChar"/>
        </w:rPr>
        <w:t xml:space="preserve">PAZK</w:t>
      </w:r>
      <w:r>
        <w:t xml:space="preserve">. Часть полей электронного каталога удалена, часть расширена, а часть добавлена специально для технической документации. В частности, предусмотрены сведения о договорах, разрешениях на изменение и марках комплектов рабочих чертежей.</w:t>
      </w:r>
    </w:p>
    <w:p>
      <w:pPr>
        <w:pStyle w:val="BodyText"/>
      </w:pPr>
      <w:r>
        <w:t xml:space="preserve">Рабочий лист</w:t>
      </w:r>
      <w:r>
        <w:t xml:space="preserve"> </w:t>
      </w:r>
      <w:r>
        <w:rPr>
          <w:rStyle w:val="VerbatimChar"/>
        </w:rPr>
        <w:t xml:space="preserve">arch.ws</w:t>
      </w:r>
      <w:r>
        <w:t xml:space="preserve"> </w:t>
      </w:r>
      <w:r>
        <w:t xml:space="preserve">не использует вложенные рабочие листы полей и содержит закладки:</w:t>
      </w:r>
    </w:p>
    <w:p>
      <w:pPr>
        <w:pStyle w:val="Compact"/>
        <w:numPr>
          <w:ilvl w:val="0"/>
          <w:numId w:val="1070"/>
        </w:numPr>
      </w:pPr>
      <w:r>
        <w:rPr>
          <w:rStyle w:val="VerbatimChar"/>
        </w:rPr>
        <w:t xml:space="preserve">Коды</w:t>
      </w:r>
      <w:r>
        <w:t xml:space="preserve">;</w:t>
      </w:r>
    </w:p>
    <w:p>
      <w:pPr>
        <w:pStyle w:val="Compact"/>
        <w:numPr>
          <w:ilvl w:val="0"/>
          <w:numId w:val="1070"/>
        </w:numPr>
      </w:pPr>
      <w:r>
        <w:rPr>
          <w:rStyle w:val="VerbatimChar"/>
        </w:rPr>
        <w:t xml:space="preserve">Основное БО</w:t>
      </w:r>
      <w:r>
        <w:t xml:space="preserve">;</w:t>
      </w:r>
    </w:p>
    <w:p>
      <w:pPr>
        <w:pStyle w:val="Compact"/>
        <w:numPr>
          <w:ilvl w:val="0"/>
          <w:numId w:val="1070"/>
        </w:numPr>
      </w:pPr>
      <w:r>
        <w:rPr>
          <w:rStyle w:val="VerbatimChar"/>
        </w:rPr>
        <w:t xml:space="preserve">Расширенное</w:t>
      </w:r>
      <w:r>
        <w:t xml:space="preserve">;</w:t>
      </w:r>
    </w:p>
    <w:p>
      <w:pPr>
        <w:pStyle w:val="Compact"/>
        <w:numPr>
          <w:ilvl w:val="0"/>
          <w:numId w:val="1070"/>
        </w:numPr>
      </w:pPr>
      <w:r>
        <w:rPr>
          <w:rStyle w:val="VerbatimChar"/>
        </w:rPr>
        <w:t xml:space="preserve">Экземпляры</w:t>
      </w:r>
      <w:r>
        <w:t xml:space="preserve">;</w:t>
      </w:r>
    </w:p>
    <w:p>
      <w:pPr>
        <w:pStyle w:val="Compact"/>
        <w:numPr>
          <w:ilvl w:val="0"/>
          <w:numId w:val="1070"/>
        </w:numPr>
      </w:pPr>
      <w:r>
        <w:rPr>
          <w:rStyle w:val="VerbatimChar"/>
        </w:rPr>
        <w:t xml:space="preserve">Технология</w:t>
      </w:r>
      <w:r>
        <w:t xml:space="preserve">;</w:t>
      </w:r>
    </w:p>
    <w:p>
      <w:pPr>
        <w:pStyle w:val="Compact"/>
        <w:numPr>
          <w:ilvl w:val="0"/>
          <w:numId w:val="1070"/>
        </w:numPr>
      </w:pPr>
      <w:r>
        <w:rPr>
          <w:rStyle w:val="VerbatimChar"/>
        </w:rPr>
        <w:t xml:space="preserve">Систематизация</w:t>
      </w:r>
      <w:r>
        <w:t xml:space="preserve">;</w:t>
      </w:r>
    </w:p>
    <w:p>
      <w:pPr>
        <w:pStyle w:val="Compact"/>
        <w:numPr>
          <w:ilvl w:val="0"/>
          <w:numId w:val="1070"/>
        </w:numPr>
      </w:pPr>
      <w:r>
        <w:rPr>
          <w:rStyle w:val="VerbatimChar"/>
        </w:rPr>
        <w:t xml:space="preserve">Содержание</w:t>
      </w:r>
      <w:r>
        <w:t xml:space="preserve">.</w:t>
      </w:r>
    </w:p>
    <w:p>
      <w:pPr>
        <w:pStyle w:val="FirstParagraph"/>
      </w:pPr>
      <w:r>
        <w:t xml:space="preserve">Поля, рабочие листы подполей и форматы просмотра/печати, настроенные для</w:t>
      </w:r>
      <w:r>
        <w:t xml:space="preserve"> </w:t>
      </w:r>
      <w:r>
        <w:rPr>
          <w:rStyle w:val="VerbatimChar"/>
        </w:rPr>
        <w:t xml:space="preserve">ARCH</w:t>
      </w:r>
      <w:r>
        <w:t xml:space="preserve">, обычно имеют суффикс</w:t>
      </w:r>
      <w:r>
        <w:t xml:space="preserve"> </w:t>
      </w:r>
      <w:r>
        <w:rPr>
          <w:rStyle w:val="VerbatimChar"/>
        </w:rPr>
        <w:t xml:space="preserve">_arch</w:t>
      </w:r>
      <w:r>
        <w:t xml:space="preserve">. Это позволяет сочетать технический архив с библиографической базой, не смешивая специализированные настройки.</w:t>
      </w:r>
    </w:p>
    <w:p>
      <w:pPr>
        <w:pStyle w:val="BodyText"/>
      </w:pPr>
      <w:r>
        <w:t xml:space="preserve">Главная особенность</w:t>
      </w:r>
      <w:r>
        <w:t xml:space="preserve"> </w:t>
      </w:r>
      <w:r>
        <w:rPr>
          <w:rStyle w:val="VerbatimChar"/>
        </w:rPr>
        <w:t xml:space="preserve">ARCH</w:t>
      </w:r>
      <w:r>
        <w:t xml:space="preserve"> </w:t>
      </w:r>
      <w:r>
        <w:t xml:space="preserve">- глубокие иерархические связи между документами. Связи вводятся в поля</w:t>
      </w:r>
      <w:r>
        <w:t xml:space="preserve"> </w:t>
      </w:r>
      <w:r>
        <w:rPr>
          <w:rStyle w:val="VerbatimChar"/>
        </w:rPr>
        <w:t xml:space="preserve">421</w:t>
      </w:r>
      <w:r>
        <w:t xml:space="preserve"> </w:t>
      </w:r>
      <w:r>
        <w:t xml:space="preserve">и</w:t>
      </w:r>
      <w:r>
        <w:t xml:space="preserve"> </w:t>
      </w:r>
      <w:r>
        <w:rPr>
          <w:rStyle w:val="VerbatimChar"/>
        </w:rPr>
        <w:t xml:space="preserve">422</w:t>
      </w:r>
      <w:r>
        <w:t xml:space="preserve">, но форматы построены так, что для организации дерева достаточно ссылки вверх в поле</w:t>
      </w:r>
      <w:r>
        <w:t xml:space="preserve"> </w:t>
      </w:r>
      <w:r>
        <w:rPr>
          <w:rStyle w:val="VerbatimChar"/>
        </w:rPr>
        <w:t xml:space="preserve">422</w:t>
      </w:r>
      <w:r>
        <w:t xml:space="preserve">. Ссылки вниз в поле</w:t>
      </w:r>
      <w:r>
        <w:t xml:space="preserve"> </w:t>
      </w:r>
      <w:r>
        <w:rPr>
          <w:rStyle w:val="VerbatimChar"/>
        </w:rPr>
        <w:t xml:space="preserve">421</w:t>
      </w:r>
      <w:r>
        <w:t xml:space="preserve"> </w:t>
      </w:r>
      <w:r>
        <w:t xml:space="preserve">можно не вводить.</w:t>
      </w:r>
    </w:p>
    <w:p>
      <w:pPr>
        <w:pStyle w:val="BodyText"/>
      </w:pPr>
      <w:r>
        <w:t xml:space="preserve">Для построения дерева связанных документов используется поле</w:t>
      </w:r>
      <w:r>
        <w:t xml:space="preserve"> </w:t>
      </w:r>
      <w:r>
        <w:rPr>
          <w:rStyle w:val="VerbatimChar"/>
        </w:rPr>
        <w:t xml:space="preserve">14</w:t>
      </w:r>
      <w:r>
        <w:t xml:space="preserve">, которое содержит полный путь вверх от текущего документа до верхнего уровня. Поле строится автоматически и имеет нестандартную структуру с повторяющимися подполями. Основой связи является обязательный уникальный идентификатор записи в поле</w:t>
      </w:r>
      <w:r>
        <w:t xml:space="preserve"> </w:t>
      </w:r>
      <w:r>
        <w:rPr>
          <w:rStyle w:val="VerbatimChar"/>
        </w:rPr>
        <w:t xml:space="preserve">19^b</w:t>
      </w:r>
      <w:r>
        <w:t xml:space="preserve">.</w:t>
      </w:r>
    </w:p>
    <w:p>
      <w:pPr>
        <w:pStyle w:val="BodyText"/>
      </w:pPr>
      <w:r>
        <w:t xml:space="preserve">Если база была создана ранее, предварительная разметка выполняется глобальными корректировками:</w:t>
      </w:r>
    </w:p>
    <w:p>
      <w:pPr>
        <w:pStyle w:val="Compact"/>
        <w:numPr>
          <w:ilvl w:val="0"/>
          <w:numId w:val="1071"/>
        </w:numPr>
      </w:pPr>
      <w:r>
        <w:rPr>
          <w:rStyle w:val="VerbatimChar"/>
        </w:rPr>
        <w:t xml:space="preserve">add14d.gbl</w:t>
      </w:r>
      <w:r>
        <w:t xml:space="preserve"> </w:t>
      </w:r>
      <w:r>
        <w:t xml:space="preserve">- выполняется однократно;</w:t>
      </w:r>
    </w:p>
    <w:p>
      <w:pPr>
        <w:pStyle w:val="Compact"/>
        <w:numPr>
          <w:ilvl w:val="0"/>
          <w:numId w:val="1071"/>
        </w:numPr>
      </w:pPr>
      <w:r>
        <w:rPr>
          <w:rStyle w:val="VerbatimChar"/>
        </w:rPr>
        <w:t xml:space="preserve">add14d2.gbl</w:t>
      </w:r>
      <w:r>
        <w:t xml:space="preserve"> </w:t>
      </w:r>
      <w:r>
        <w:t xml:space="preserve">- выполняется несколько раз, пока в словаре</w:t>
      </w:r>
      <w:r>
        <w:t xml:space="preserve"> </w:t>
      </w:r>
      <w:r>
        <w:rPr>
          <w:rStyle w:val="VerbatimChar"/>
        </w:rPr>
        <w:t xml:space="preserve">Иерархия</w:t>
      </w:r>
      <w:r>
        <w:t xml:space="preserve"> </w:t>
      </w:r>
      <w:r>
        <w:t xml:space="preserve">перестанут увеличиваться число документов с полем</w:t>
      </w:r>
      <w:r>
        <w:t xml:space="preserve"> </w:t>
      </w:r>
      <w:r>
        <w:rPr>
          <w:rStyle w:val="VerbatimChar"/>
        </w:rPr>
        <w:t xml:space="preserve">14</w:t>
      </w:r>
      <w:r>
        <w:t xml:space="preserve"> </w:t>
      </w:r>
      <w:r>
        <w:t xml:space="preserve">и общее число полей</w:t>
      </w:r>
      <w:r>
        <w:t xml:space="preserve"> </w:t>
      </w:r>
      <w:r>
        <w:rPr>
          <w:rStyle w:val="VerbatimChar"/>
        </w:rPr>
        <w:t xml:space="preserve">14</w:t>
      </w:r>
      <w:r>
        <w:t xml:space="preserve">.</w:t>
      </w:r>
    </w:p>
    <w:p>
      <w:pPr>
        <w:pStyle w:val="FirstParagraph"/>
      </w:pPr>
      <w:r>
        <w:t xml:space="preserve">При выполнении этих заданий на всей базе для ускорения работы целесообразно отключать формально-логический контроль и автоввод.</w:t>
      </w:r>
    </w:p>
    <w:p>
      <w:pPr>
        <w:pStyle w:val="BodyText"/>
      </w:pPr>
      <w:r>
        <w:t xml:space="preserve">В текущем режиме поле</w:t>
      </w:r>
      <w:r>
        <w:t xml:space="preserve"> </w:t>
      </w:r>
      <w:r>
        <w:rPr>
          <w:rStyle w:val="VerbatimChar"/>
        </w:rPr>
        <w:t xml:space="preserve">14</w:t>
      </w:r>
      <w:r>
        <w:t xml:space="preserve"> </w:t>
      </w:r>
      <w:r>
        <w:t xml:space="preserve">формируется автоматически при вводе новой ссылки в</w:t>
      </w:r>
      <w:r>
        <w:t xml:space="preserve"> </w:t>
      </w:r>
      <w:r>
        <w:rPr>
          <w:rStyle w:val="VerbatimChar"/>
        </w:rPr>
        <w:t xml:space="preserve">422</w:t>
      </w:r>
      <w:r>
        <w:t xml:space="preserve">, если документ-цель уже существует в базе и ссылка вводится через словарь.</w:t>
      </w:r>
    </w:p>
    <w:p>
      <w:pPr>
        <w:pStyle w:val="BodyText"/>
      </w:pPr>
      <w:r>
        <w:t xml:space="preserve">Для просмотра подготовлены специальные форматы дерева и гнезда. Формат</w:t>
      </w:r>
      <w:r>
        <w:t xml:space="preserve"> </w:t>
      </w:r>
      <w:r>
        <w:rPr>
          <w:rStyle w:val="VerbatimChar"/>
        </w:rPr>
        <w:t xml:space="preserve">kn_arch_h.pft</w:t>
      </w:r>
      <w:r>
        <w:t xml:space="preserve"> </w:t>
      </w:r>
      <w:r>
        <w:t xml:space="preserve">позволяет перейти к просмотру текущего документа как дерева на всю глубину вверх и вниз или как гнезда на один шаг вверх и вниз. В этих режимах можно отмечать связанные документы и экспортировать их вместе с внешними объектами.</w:t>
      </w:r>
    </w:p>
    <w:p>
      <w:pPr>
        <w:pStyle w:val="BodyText"/>
      </w:pPr>
      <w:r>
        <w:t xml:space="preserve">В текущей поставке материалы базы находятся в</w:t>
      </w:r>
      <w:r>
        <w:t xml:space="preserve"> </w:t>
      </w:r>
      <w:r>
        <w:rPr>
          <w:rStyle w:val="VerbatimChar"/>
        </w:rPr>
        <w:t xml:space="preserve">modules/i128f/Distr/datai/arch</w:t>
      </w:r>
      <w:r>
        <w:t xml:space="preserve">, а дополнительные форматы просмотра - в</w:t>
      </w:r>
      <w:r>
        <w:t xml:space="preserve"> </w:t>
      </w:r>
      <w:r>
        <w:rPr>
          <w:rStyle w:val="VerbatimChar"/>
        </w:rPr>
        <w:t xml:space="preserve">modules/Format/formats/ARCH</w:t>
      </w:r>
      <w:r>
        <w:t xml:space="preserve">.</w:t>
      </w:r>
    </w:p>
    <w:bookmarkEnd w:id="208"/>
    <w:bookmarkStart w:id="209" w:name="контроль-перед-использованием"/>
    <w:p>
      <w:pPr>
        <w:pStyle w:val="Heading4"/>
      </w:pPr>
      <w:r>
        <w:t xml:space="preserve">3. Контроль перед использованием</w:t>
      </w:r>
    </w:p>
    <w:p>
      <w:pPr>
        <w:pStyle w:val="FirstParagraph"/>
      </w:pPr>
      <w:r>
        <w:t xml:space="preserve">Перед публикацией этих разделов как пользовательской инструкции для конкретной установки нужно проверить:</w:t>
      </w:r>
    </w:p>
    <w:p>
      <w:pPr>
        <w:pStyle w:val="Compact"/>
        <w:numPr>
          <w:ilvl w:val="0"/>
          <w:numId w:val="1072"/>
        </w:numPr>
      </w:pPr>
      <w:r>
        <w:t xml:space="preserve">подключены ли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w:t>
      </w:r>
      <w:r>
        <w:t xml:space="preserve">в списке баз данных;</w:t>
      </w:r>
    </w:p>
    <w:p>
      <w:pPr>
        <w:pStyle w:val="Compact"/>
        <w:numPr>
          <w:ilvl w:val="0"/>
          <w:numId w:val="1072"/>
        </w:numPr>
      </w:pPr>
      <w:r>
        <w:t xml:space="preserve">используются ли они в организации фактически или остаются демонстрационными/типовыми поставочными базами;</w:t>
      </w:r>
    </w:p>
    <w:p>
      <w:pPr>
        <w:pStyle w:val="Compact"/>
        <w:numPr>
          <w:ilvl w:val="0"/>
          <w:numId w:val="1072"/>
        </w:numPr>
      </w:pPr>
      <w:r>
        <w:t xml:space="preserve">доступны ли пользователям нужные рабочие листы и форматы;</w:t>
      </w:r>
    </w:p>
    <w:p>
      <w:pPr>
        <w:pStyle w:val="Compact"/>
        <w:numPr>
          <w:ilvl w:val="0"/>
          <w:numId w:val="1072"/>
        </w:numPr>
      </w:pPr>
      <w:r>
        <w:t xml:space="preserve">настроены ли внешние объекты и переходы по связанным документам;</w:t>
      </w:r>
    </w:p>
    <w:p>
      <w:pPr>
        <w:pStyle w:val="Compact"/>
        <w:numPr>
          <w:ilvl w:val="0"/>
          <w:numId w:val="1072"/>
        </w:numPr>
      </w:pPr>
      <w:r>
        <w:t xml:space="preserve">требуется ли адаптация таблиц</w:t>
      </w:r>
      <w:r>
        <w:t xml:space="preserve"> </w:t>
      </w:r>
      <w:r>
        <w:rPr>
          <w:rStyle w:val="VerbatimChar"/>
        </w:rPr>
        <w:t xml:space="preserve">CALENDAR</w:t>
      </w:r>
      <w:r>
        <w:t xml:space="preserve">,</w:t>
      </w:r>
      <w:r>
        <w:t xml:space="preserve"> </w:t>
      </w:r>
      <w:r>
        <w:rPr>
          <w:rStyle w:val="VerbatimChar"/>
        </w:rPr>
        <w:t xml:space="preserve">UKT</w:t>
      </w:r>
      <w:r>
        <w:t xml:space="preserve"> </w:t>
      </w:r>
      <w:r>
        <w:t xml:space="preserve">и форматов</w:t>
      </w:r>
      <w:r>
        <w:t xml:space="preserve"> </w:t>
      </w:r>
      <w:r>
        <w:rPr>
          <w:rStyle w:val="VerbatimChar"/>
        </w:rPr>
        <w:t xml:space="preserve">ARCH</w:t>
      </w:r>
      <w:r>
        <w:t xml:space="preserve"> </w:t>
      </w:r>
      <w:r>
        <w:t xml:space="preserve">под локальные данные.</w:t>
      </w:r>
    </w:p>
    <w:bookmarkEnd w:id="209"/>
    <w:bookmarkEnd w:id="210"/>
    <w:bookmarkStart w:id="217" w:name="импорт-в-сводный-каталог"/>
    <w:p>
      <w:pPr>
        <w:pStyle w:val="Heading3"/>
      </w:pPr>
      <w:r>
        <w:t xml:space="preserve">Импорт в сводный каталог</w:t>
      </w:r>
    </w:p>
    <w:p>
      <w:pPr>
        <w:pStyle w:val="FirstParagraph"/>
      </w:pPr>
      <w:r>
        <w:t xml:space="preserve">Этот раздел описывает методику импорта записей в сводный каталог книг, когда в одной сводной записи отражается наличие издания в разных библиотеках, городах или организациях. Пользовательские действия с уже существующей БД сводного каталога описаны в разделе</w:t>
      </w:r>
      <w:r>
        <w:t xml:space="preserve"> </w:t>
      </w:r>
      <w:hyperlink r:id="rId211">
        <w:r>
          <w:rPr>
            <w:rStyle w:val="Hyperlink"/>
          </w:rPr>
          <w:t xml:space="preserve">Работа с БД сводного каталога</w:t>
        </w:r>
      </w:hyperlink>
      <w:r>
        <w:t xml:space="preserve">, а администрирование современной сборки сводного каталога - в Help модуля</w:t>
      </w:r>
      <w:r>
        <w:t xml:space="preserve"> </w:t>
      </w:r>
      <w:r>
        <w:rPr>
          <w:rStyle w:val="VerbatimChar"/>
        </w:rPr>
        <w:t xml:space="preserve">CSpider</w:t>
      </w:r>
      <w:r>
        <w:t xml:space="preserve">.</w:t>
      </w:r>
    </w:p>
    <w:bookmarkStart w:id="212" w:name="назначение-импорта-со-слиянием"/>
    <w:p>
      <w:pPr>
        <w:pStyle w:val="Heading4"/>
      </w:pPr>
      <w:r>
        <w:t xml:space="preserve">1. Назначение импорта со слиянием</w:t>
      </w:r>
    </w:p>
    <w:p>
      <w:pPr>
        <w:pStyle w:val="FirstParagraph"/>
      </w:pPr>
      <w:r>
        <w:t xml:space="preserve">Для ведения сводного каталога может использоваться режим импорта со слиянием. Входные записи должны быть в формате ИРБИС.</w:t>
      </w:r>
    </w:p>
    <w:p>
      <w:pPr>
        <w:pStyle w:val="BodyText"/>
      </w:pPr>
      <w:r>
        <w:t xml:space="preserve">При выполнении импорта для каждой входной записи система проверяет наличие дублетной записи в базе сводного каталога:</w:t>
      </w:r>
    </w:p>
    <w:p>
      <w:pPr>
        <w:pStyle w:val="Compact"/>
        <w:numPr>
          <w:ilvl w:val="0"/>
          <w:numId w:val="1073"/>
        </w:numPr>
      </w:pPr>
      <w:r>
        <w:t xml:space="preserve">если дублет найден, существующая запись корректируется;</w:t>
      </w:r>
    </w:p>
    <w:p>
      <w:pPr>
        <w:pStyle w:val="Compact"/>
        <w:numPr>
          <w:ilvl w:val="0"/>
          <w:numId w:val="1073"/>
        </w:numPr>
      </w:pPr>
      <w:r>
        <w:t xml:space="preserve">если дублет не найден, создаётся новая запись, в которую переносятся данные импортируемой записи.</w:t>
      </w:r>
    </w:p>
    <w:p>
      <w:pPr>
        <w:pStyle w:val="FirstParagraph"/>
      </w:pPr>
      <w:r>
        <w:t xml:space="preserve">При корректировке действует общее правило: неповторяющиеся поля заменяются, а к повторяющимся полям приписываются оригинальные данные из импортируемой записи.</w:t>
      </w:r>
    </w:p>
    <w:p>
      <w:pPr>
        <w:pStyle w:val="BodyText"/>
      </w:pPr>
      <w:r>
        <w:t xml:space="preserve">Для идентификации дублетов используется свёртка библиографического описания, аналогичная сверке на дублетность при ручном вводе новых записей. Это важно для варианта, когда шифры в сводном каталоге заранее неизвестны.</w:t>
      </w:r>
    </w:p>
    <w:p>
      <w:pPr>
        <w:pStyle w:val="BodyText"/>
      </w:pPr>
      <w:r>
        <w:t xml:space="preserve">В обоих режимах импорта анализируются и учитываются дублеты внутри входного файла.</w:t>
      </w:r>
    </w:p>
    <w:bookmarkEnd w:id="212"/>
    <w:bookmarkStart w:id="213" w:name="общие-параметры-запуска"/>
    <w:p>
      <w:pPr>
        <w:pStyle w:val="Heading4"/>
      </w:pPr>
      <w:r>
        <w:t xml:space="preserve">2. Общие параметры запуска</w:t>
      </w:r>
    </w:p>
    <w:p>
      <w:pPr>
        <w:pStyle w:val="FirstParagraph"/>
      </w:pPr>
      <w:r>
        <w:t xml:space="preserve">При импорте со слиянием каталогизатор или технолог выбирает:</w:t>
      </w:r>
    </w:p>
    <w:p>
      <w:pPr>
        <w:pStyle w:val="Compact"/>
        <w:numPr>
          <w:ilvl w:val="0"/>
          <w:numId w:val="1074"/>
        </w:numPr>
      </w:pPr>
      <w:r>
        <w:t xml:space="preserve">таблицу переформатирования;</w:t>
      </w:r>
    </w:p>
    <w:p>
      <w:pPr>
        <w:pStyle w:val="Compact"/>
        <w:numPr>
          <w:ilvl w:val="0"/>
          <w:numId w:val="1074"/>
        </w:numPr>
      </w:pPr>
      <w:r>
        <w:t xml:space="preserve">режим</w:t>
      </w:r>
      <w:r>
        <w:t xml:space="preserve"> </w:t>
      </w:r>
      <w:r>
        <w:rPr>
          <w:rStyle w:val="VerbatimChar"/>
        </w:rPr>
        <w:t xml:space="preserve">Слияние</w:t>
      </w:r>
      <w:r>
        <w:t xml:space="preserve">;</w:t>
      </w:r>
    </w:p>
    <w:p>
      <w:pPr>
        <w:pStyle w:val="Compact"/>
        <w:numPr>
          <w:ilvl w:val="0"/>
          <w:numId w:val="1074"/>
        </w:numPr>
      </w:pPr>
      <w:r>
        <w:t xml:space="preserve">формат ключа или задание глобальной корректировки, в зависимости от выбранного варианта;</w:t>
      </w:r>
    </w:p>
    <w:p>
      <w:pPr>
        <w:pStyle w:val="Compact"/>
        <w:numPr>
          <w:ilvl w:val="0"/>
          <w:numId w:val="1074"/>
        </w:numPr>
      </w:pPr>
      <w:r>
        <w:t xml:space="preserve">файл импорта.</w:t>
      </w:r>
    </w:p>
    <w:p>
      <w:pPr>
        <w:pStyle w:val="FirstParagraph"/>
      </w:pPr>
      <w:r>
        <w:t xml:space="preserve">В исходной технологии используются два варианта:</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Вариант</w:t>
            </w:r>
          </w:p>
        </w:tc>
        <w:tc>
          <w:tcPr/>
          <w:p>
            <w:pPr>
              <w:pStyle w:val="Compact"/>
            </w:pPr>
            <w:r>
              <w:t xml:space="preserve">Таблица</w:t>
            </w:r>
          </w:p>
        </w:tc>
        <w:tc>
          <w:tcPr/>
          <w:p>
            <w:pPr>
              <w:pStyle w:val="Compact"/>
            </w:pPr>
            <w:r>
              <w:t xml:space="preserve">Режим</w:t>
            </w:r>
          </w:p>
        </w:tc>
        <w:tc>
          <w:tcPr/>
          <w:p>
            <w:pPr>
              <w:pStyle w:val="Compact"/>
            </w:pPr>
            <w:r>
              <w:t xml:space="preserve">Назначение</w:t>
            </w:r>
          </w:p>
        </w:tc>
      </w:tr>
      <w:tr>
        <w:tc>
          <w:tcPr/>
          <w:p>
            <w:pPr>
              <w:pStyle w:val="Compact"/>
            </w:pPr>
            <w:r>
              <w:t xml:space="preserve">Простая приписка сигл</w:t>
            </w:r>
          </w:p>
        </w:tc>
        <w:tc>
          <w:tcPr/>
          <w:p>
            <w:pPr>
              <w:pStyle w:val="Compact"/>
            </w:pPr>
            <w:r>
              <w:rPr>
                <w:rStyle w:val="VerbatimChar"/>
              </w:rPr>
              <w:t xml:space="preserve">ImpSvk</w:t>
            </w:r>
          </w:p>
        </w:tc>
        <w:tc>
          <w:tcPr/>
          <w:p>
            <w:pPr>
              <w:pStyle w:val="Compact"/>
            </w:pPr>
            <w:r>
              <w:rPr>
                <w:rStyle w:val="VerbatimChar"/>
              </w:rPr>
              <w:t xml:space="preserve">Импорт - Слияние - Формат ключа</w:t>
            </w:r>
          </w:p>
        </w:tc>
        <w:tc>
          <w:tcPr/>
          <w:p>
            <w:pPr>
              <w:pStyle w:val="Compact"/>
            </w:pPr>
            <w:r>
              <w:t xml:space="preserve">Добавить сиглы держателей документов к существующей записи или создать новую</w:t>
            </w:r>
          </w:p>
        </w:tc>
      </w:tr>
      <w:tr>
        <w:tc>
          <w:tcPr/>
          <w:p>
            <w:pPr>
              <w:pStyle w:val="Compact"/>
            </w:pPr>
            <w:r>
              <w:t xml:space="preserve">Приоритет сигл</w:t>
            </w:r>
          </w:p>
        </w:tc>
        <w:tc>
          <w:tcPr/>
          <w:p>
            <w:pPr>
              <w:pStyle w:val="Compact"/>
            </w:pPr>
            <w:r>
              <w:rPr>
                <w:rStyle w:val="VerbatimChar"/>
              </w:rPr>
              <w:t xml:space="preserve">ImpSvk_Sigla</w:t>
            </w:r>
          </w:p>
        </w:tc>
        <w:tc>
          <w:tcPr/>
          <w:p>
            <w:pPr>
              <w:pStyle w:val="Compact"/>
            </w:pPr>
            <w:r>
              <w:rPr>
                <w:rStyle w:val="VerbatimChar"/>
              </w:rPr>
              <w:t xml:space="preserve">Импорт - Слияние - Глобальная</w:t>
            </w:r>
          </w:p>
        </w:tc>
        <w:tc>
          <w:tcPr/>
          <w:p>
            <w:pPr>
              <w:pStyle w:val="Compact"/>
            </w:pPr>
            <w:r>
              <w:t xml:space="preserve">Учитывать приоритетные организации при замене библиографических и индексных данных</w:t>
            </w:r>
          </w:p>
        </w:tc>
      </w:tr>
    </w:tbl>
    <w:bookmarkEnd w:id="213"/>
    <w:bookmarkStart w:id="214" w:name="приписка-сигл-держателей"/>
    <w:p>
      <w:pPr>
        <w:pStyle w:val="Heading4"/>
      </w:pPr>
      <w:r>
        <w:t xml:space="preserve">3. Приписка сигл держателей</w:t>
      </w:r>
    </w:p>
    <w:p>
      <w:pPr>
        <w:pStyle w:val="FirstParagraph"/>
      </w:pPr>
      <w:r>
        <w:t xml:space="preserve">Простой вариант предназначен для добавления сигл библиотек-держателей документов в поле</w:t>
      </w:r>
      <w:r>
        <w:t xml:space="preserve"> </w:t>
      </w:r>
      <w:r>
        <w:rPr>
          <w:rStyle w:val="VerbatimChar"/>
        </w:rPr>
        <w:t xml:space="preserve">902</w:t>
      </w:r>
      <w:r>
        <w:t xml:space="preserve"> </w:t>
      </w:r>
      <w:r>
        <w:t xml:space="preserve">записи сводного каталога.</w:t>
      </w:r>
    </w:p>
    <w:p>
      <w:pPr>
        <w:pStyle w:val="BodyText"/>
      </w:pPr>
      <w:r>
        <w:t xml:space="preserve">Если в сводном каталоге уже есть дублетная запись, к ней приписывается сигла держателя. Если дублетной записи нет, создаётся новая запись.</w:t>
      </w:r>
    </w:p>
    <w:p>
      <w:pPr>
        <w:pStyle w:val="BodyText"/>
      </w:pPr>
      <w:r>
        <w:t xml:space="preserve">Для этого варианта используются:</w:t>
      </w:r>
    </w:p>
    <w:p>
      <w:pPr>
        <w:pStyle w:val="Compact"/>
        <w:numPr>
          <w:ilvl w:val="0"/>
          <w:numId w:val="1075"/>
        </w:numPr>
      </w:pPr>
      <w:r>
        <w:t xml:space="preserve">таблица переформатирования</w:t>
      </w:r>
      <w:r>
        <w:t xml:space="preserve"> </w:t>
      </w:r>
      <w:r>
        <w:rPr>
          <w:rStyle w:val="VerbatimChar"/>
        </w:rPr>
        <w:t xml:space="preserve">ImpSvk</w:t>
      </w:r>
      <w:r>
        <w:t xml:space="preserve">;</w:t>
      </w:r>
    </w:p>
    <w:p>
      <w:pPr>
        <w:pStyle w:val="Compact"/>
        <w:numPr>
          <w:ilvl w:val="0"/>
          <w:numId w:val="1075"/>
        </w:numPr>
      </w:pPr>
      <w:r>
        <w:t xml:space="preserve">формат ключа</w:t>
      </w:r>
      <w:r>
        <w:t xml:space="preserve"> </w:t>
      </w:r>
      <w:r>
        <w:rPr>
          <w:rStyle w:val="VerbatimChar"/>
        </w:rPr>
        <w:t xml:space="preserve">ImpSvk</w:t>
      </w:r>
      <w:r>
        <w:t xml:space="preserve">.</w:t>
      </w:r>
    </w:p>
    <w:p>
      <w:pPr>
        <w:pStyle w:val="FirstParagraph"/>
      </w:pPr>
      <w:r>
        <w:t xml:space="preserve">Этот режим подходит, когда цель импорта - прежде всего зафиксировать наличие документа у участника сводного каталога, не вводя сложную логику приоритетного замещения библиографических данных.</w:t>
      </w:r>
    </w:p>
    <w:bookmarkEnd w:id="214"/>
    <w:bookmarkStart w:id="215" w:name="импорт-с-приоритетом-сигл"/>
    <w:p>
      <w:pPr>
        <w:pStyle w:val="Heading4"/>
      </w:pPr>
      <w:r>
        <w:t xml:space="preserve">4. Импорт с приоритетом сигл</w:t>
      </w:r>
    </w:p>
    <w:p>
      <w:pPr>
        <w:pStyle w:val="FirstParagraph"/>
      </w:pPr>
      <w:r>
        <w:t xml:space="preserve">Расширенный вариант использует понятие приоритетной сиглы. Приоритетные сиглы определяют организации, записи которых имеют преимущество при корректировке сводного описания. Список таких организаций задаётся в справочнике</w:t>
      </w:r>
      <w:r>
        <w:t xml:space="preserve"> </w:t>
      </w:r>
      <w:r>
        <w:rPr>
          <w:rStyle w:val="VerbatimChar"/>
        </w:rPr>
        <w:t xml:space="preserve">SiglP.mnu</w:t>
      </w:r>
      <w:r>
        <w:t xml:space="preserve">.</w:t>
      </w:r>
    </w:p>
    <w:p>
      <w:pPr>
        <w:pStyle w:val="BodyText"/>
      </w:pPr>
      <w:r>
        <w:t xml:space="preserve">Если исходная сводная запись была создана не приоритетной сиглой, а импортируемая запись поступила от приоритетной сиглы, библиографические поля и поля индексирования могут быть автоматически заменены данными импортируемой записи.</w:t>
      </w:r>
    </w:p>
    <w:p>
      <w:pPr>
        <w:pStyle w:val="BodyText"/>
      </w:pPr>
      <w:r>
        <w:t xml:space="preserve">Если сводная запись уже создана приоритетной сиглой или ранее откорректирована ею, она может дополняться оригинальными полями индексирования с указанием новой приоритетной сиглы, приславшей запись.</w:t>
      </w:r>
    </w:p>
    <w:p>
      <w:pPr>
        <w:pStyle w:val="BodyText"/>
      </w:pPr>
      <w:r>
        <w:t xml:space="preserve">К полям индексирования относятся:</w:t>
      </w:r>
    </w:p>
    <w:p>
      <w:pPr>
        <w:pStyle w:val="Compact"/>
        <w:numPr>
          <w:ilvl w:val="0"/>
          <w:numId w:val="1076"/>
        </w:numPr>
      </w:pPr>
      <w:r>
        <w:t xml:space="preserve">предметные и географические рубрики:</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929</w:t>
      </w:r>
      <w:r>
        <w:t xml:space="preserve">;</w:t>
      </w:r>
    </w:p>
    <w:p>
      <w:pPr>
        <w:pStyle w:val="Compact"/>
        <w:numPr>
          <w:ilvl w:val="0"/>
          <w:numId w:val="1076"/>
        </w:numPr>
      </w:pPr>
      <w:r>
        <w:t xml:space="preserve">ненормированные ключевые слова:</w:t>
      </w:r>
      <w:r>
        <w:t xml:space="preserve"> </w:t>
      </w:r>
      <w:r>
        <w:rPr>
          <w:rStyle w:val="VerbatimChar"/>
        </w:rPr>
        <w:t xml:space="preserve">610</w:t>
      </w:r>
      <w:r>
        <w:t xml:space="preserve">;</w:t>
      </w:r>
    </w:p>
    <w:p>
      <w:pPr>
        <w:pStyle w:val="Compact"/>
        <w:numPr>
          <w:ilvl w:val="0"/>
          <w:numId w:val="1076"/>
        </w:numPr>
      </w:pPr>
      <w:r>
        <w:t xml:space="preserve">ББК:</w:t>
      </w:r>
      <w:r>
        <w:t xml:space="preserve"> </w:t>
      </w:r>
      <w:r>
        <w:rPr>
          <w:rStyle w:val="VerbatimChar"/>
        </w:rPr>
        <w:t xml:space="preserve">621</w:t>
      </w:r>
      <w:r>
        <w:t xml:space="preserve">;</w:t>
      </w:r>
    </w:p>
    <w:p>
      <w:pPr>
        <w:pStyle w:val="Compact"/>
        <w:numPr>
          <w:ilvl w:val="0"/>
          <w:numId w:val="1076"/>
        </w:numPr>
      </w:pPr>
      <w:r>
        <w:t xml:space="preserve">УДК:</w:t>
      </w:r>
      <w:r>
        <w:t xml:space="preserve"> </w:t>
      </w:r>
      <w:r>
        <w:rPr>
          <w:rStyle w:val="VerbatimChar"/>
        </w:rPr>
        <w:t xml:space="preserve">675</w:t>
      </w:r>
      <w:r>
        <w:t xml:space="preserve">;</w:t>
      </w:r>
    </w:p>
    <w:p>
      <w:pPr>
        <w:pStyle w:val="Compact"/>
        <w:numPr>
          <w:ilvl w:val="0"/>
          <w:numId w:val="1076"/>
        </w:numPr>
      </w:pPr>
      <w:r>
        <w:t xml:space="preserve">ГРНТИ:</w:t>
      </w:r>
      <w:r>
        <w:t xml:space="preserve"> </w:t>
      </w:r>
      <w:r>
        <w:rPr>
          <w:rStyle w:val="VerbatimChar"/>
        </w:rPr>
        <w:t xml:space="preserve">964</w:t>
      </w:r>
      <w:r>
        <w:t xml:space="preserve">;</w:t>
      </w:r>
    </w:p>
    <w:p>
      <w:pPr>
        <w:pStyle w:val="Compact"/>
        <w:numPr>
          <w:ilvl w:val="0"/>
          <w:numId w:val="1076"/>
        </w:numPr>
      </w:pPr>
      <w:r>
        <w:t xml:space="preserve">дескрипторы тезауруса:</w:t>
      </w:r>
      <w:r>
        <w:t xml:space="preserve"> </w:t>
      </w:r>
      <w:r>
        <w:rPr>
          <w:rStyle w:val="VerbatimChar"/>
        </w:rPr>
        <w:t xml:space="preserve">665</w:t>
      </w:r>
      <w:r>
        <w:t xml:space="preserve">;</w:t>
      </w:r>
    </w:p>
    <w:p>
      <w:pPr>
        <w:pStyle w:val="Compact"/>
        <w:numPr>
          <w:ilvl w:val="0"/>
          <w:numId w:val="1076"/>
        </w:numPr>
      </w:pPr>
      <w:r>
        <w:t xml:space="preserve">дескрипторы MeSH:</w:t>
      </w:r>
      <w:r>
        <w:t xml:space="preserve"> </w:t>
      </w:r>
      <w:r>
        <w:rPr>
          <w:rStyle w:val="VerbatimChar"/>
        </w:rPr>
        <w:t xml:space="preserve">605</w:t>
      </w:r>
      <w:r>
        <w:t xml:space="preserve">,</w:t>
      </w:r>
      <w:r>
        <w:t xml:space="preserve"> </w:t>
      </w:r>
      <w:r>
        <w:rPr>
          <w:rStyle w:val="VerbatimChar"/>
        </w:rPr>
        <w:t xml:space="preserve">995</w:t>
      </w:r>
      <w:r>
        <w:t xml:space="preserve">,</w:t>
      </w:r>
      <w:r>
        <w:t xml:space="preserve"> </w:t>
      </w:r>
      <w:r>
        <w:rPr>
          <w:rStyle w:val="VerbatimChar"/>
        </w:rPr>
        <w:t xml:space="preserve">996</w:t>
      </w:r>
      <w:r>
        <w:t xml:space="preserve">.</w:t>
      </w:r>
    </w:p>
    <w:p>
      <w:pPr>
        <w:pStyle w:val="FirstParagraph"/>
      </w:pPr>
      <w:r>
        <w:t xml:space="preserve">Дополнительный ввод полей индексирования можно отключить параметром</w:t>
      </w:r>
      <w:r>
        <w:t xml:space="preserve"> </w:t>
      </w:r>
      <w:r>
        <w:rPr>
          <w:rStyle w:val="VerbatimChar"/>
        </w:rPr>
        <w:t xml:space="preserve">SvkAddIND</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вводятся.</w:t>
      </w:r>
    </w:p>
    <w:p>
      <w:pPr>
        <w:pStyle w:val="BodyText"/>
      </w:pPr>
      <w:r>
        <w:t xml:space="preserve">Участник сводного каталога может передавать не только сиглу, но и оригинальные данные об экземплярах. К ним относятся поле</w:t>
      </w:r>
      <w:r>
        <w:t xml:space="preserve"> </w:t>
      </w:r>
      <w:r>
        <w:rPr>
          <w:rStyle w:val="VerbatimChar"/>
        </w:rPr>
        <w:t xml:space="preserve">910</w:t>
      </w:r>
      <w:r>
        <w:t xml:space="preserve"> </w:t>
      </w:r>
      <w:r>
        <w:t xml:space="preserve">и поля, описывающие состояние и особенности экземпляров редких книг:</w:t>
      </w:r>
      <w:r>
        <w:t xml:space="preserve"> </w:t>
      </w:r>
      <w:r>
        <w:rPr>
          <w:rStyle w:val="VerbatimChar"/>
        </w:rPr>
        <w:t xml:space="preserve">141</w:t>
      </w:r>
      <w:r>
        <w:t xml:space="preserve">,</w:t>
      </w:r>
      <w:r>
        <w:t xml:space="preserve"> </w:t>
      </w:r>
      <w:r>
        <w:rPr>
          <w:rStyle w:val="VerbatimChar"/>
        </w:rPr>
        <w:t xml:space="preserve">316</w:t>
      </w:r>
      <w:r>
        <w:t xml:space="preserve">-</w:t>
      </w:r>
      <w:r>
        <w:rPr>
          <w:rStyle w:val="VerbatimChar"/>
        </w:rPr>
        <w:t xml:space="preserve">318</w:t>
      </w:r>
      <w:r>
        <w:t xml:space="preserve">,</w:t>
      </w:r>
      <w:r>
        <w:t xml:space="preserve"> </w:t>
      </w:r>
      <w:r>
        <w:rPr>
          <w:rStyle w:val="VerbatimChar"/>
        </w:rPr>
        <w:t xml:space="preserve">391</w:t>
      </w:r>
      <w:r>
        <w:t xml:space="preserve">-</w:t>
      </w:r>
      <w:r>
        <w:rPr>
          <w:rStyle w:val="VerbatimChar"/>
        </w:rPr>
        <w:t xml:space="preserve">399</w:t>
      </w:r>
      <w:r>
        <w:t xml:space="preserve">.</w:t>
      </w:r>
    </w:p>
    <w:p>
      <w:pPr>
        <w:pStyle w:val="BodyText"/>
      </w:pPr>
      <w:r>
        <w:t xml:space="preserve">Ввод данных об экземплярах можно отключить параметром</w:t>
      </w:r>
      <w:r>
        <w:t xml:space="preserve"> </w:t>
      </w:r>
      <w:r>
        <w:rPr>
          <w:rStyle w:val="VerbatimChar"/>
        </w:rPr>
        <w:t xml:space="preserve">SvkAddEX</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не вводятся.</w:t>
      </w:r>
    </w:p>
    <w:p>
      <w:pPr>
        <w:pStyle w:val="BodyText"/>
      </w:pPr>
      <w:r>
        <w:t xml:space="preserve">Безусловно в запись сводного каталога вводится сигла и технологическое поле</w:t>
      </w:r>
      <w:r>
        <w:t xml:space="preserve"> </w:t>
      </w:r>
      <w:r>
        <w:rPr>
          <w:rStyle w:val="VerbatimChar"/>
        </w:rPr>
        <w:t xml:space="preserve">907</w:t>
      </w:r>
      <w:r>
        <w:t xml:space="preserve"> </w:t>
      </w:r>
      <w:r>
        <w:t xml:space="preserve">со значением вида</w:t>
      </w:r>
      <w:r>
        <w:t xml:space="preserve"> </w:t>
      </w:r>
      <w:r>
        <w:rPr>
          <w:rStyle w:val="VerbatimChar"/>
        </w:rPr>
        <w:t xml:space="preserve">IMP - дата - сигла</w:t>
      </w:r>
      <w:r>
        <w:t xml:space="preserve">.</w:t>
      </w:r>
    </w:p>
    <w:p>
      <w:pPr>
        <w:pStyle w:val="BodyText"/>
      </w:pPr>
      <w:r>
        <w:t xml:space="preserve">Для этого варианта используются:</w:t>
      </w:r>
    </w:p>
    <w:p>
      <w:pPr>
        <w:pStyle w:val="Compact"/>
        <w:numPr>
          <w:ilvl w:val="0"/>
          <w:numId w:val="1077"/>
        </w:numPr>
      </w:pPr>
      <w:r>
        <w:t xml:space="preserve">таблица переформатирования</w:t>
      </w:r>
      <w:r>
        <w:t xml:space="preserve"> </w:t>
      </w:r>
      <w:r>
        <w:rPr>
          <w:rStyle w:val="VerbatimChar"/>
        </w:rPr>
        <w:t xml:space="preserve">ImpSvk_Sigla</w:t>
      </w:r>
      <w:r>
        <w:t xml:space="preserve">;</w:t>
      </w:r>
    </w:p>
    <w:p>
      <w:pPr>
        <w:pStyle w:val="Compact"/>
        <w:numPr>
          <w:ilvl w:val="0"/>
          <w:numId w:val="1077"/>
        </w:numPr>
      </w:pPr>
      <w:r>
        <w:t xml:space="preserve">глобальное задание</w:t>
      </w:r>
      <w:r>
        <w:t xml:space="preserve"> </w:t>
      </w:r>
      <w:r>
        <w:rPr>
          <w:rStyle w:val="VerbatimChar"/>
        </w:rPr>
        <w:t xml:space="preserve">ImpSvk_Sigla</w:t>
      </w:r>
      <w:r>
        <w:t xml:space="preserve">.</w:t>
      </w:r>
    </w:p>
    <w:p>
      <w:pPr>
        <w:pStyle w:val="FirstParagraph"/>
      </w:pPr>
      <w:r>
        <w:t xml:space="preserve">Сиглу организации, приславшей импортируемый файл, можно задавать через настройку. Если в настройке сигла не задана, она берётся из импортируемой записи, из поля</w:t>
      </w:r>
      <w:r>
        <w:t xml:space="preserve"> </w:t>
      </w:r>
      <w:r>
        <w:rPr>
          <w:rStyle w:val="VerbatimChar"/>
        </w:rPr>
        <w:t xml:space="preserve">902</w:t>
      </w:r>
      <w:r>
        <w:t xml:space="preserve">.</w:t>
      </w:r>
    </w:p>
    <w:bookmarkEnd w:id="215"/>
    <w:bookmarkStart w:id="216" w:name="контроль-результата"/>
    <w:p>
      <w:pPr>
        <w:pStyle w:val="Heading4"/>
      </w:pPr>
      <w:r>
        <w:t xml:space="preserve">5. Контроль результата</w:t>
      </w:r>
    </w:p>
    <w:p>
      <w:pPr>
        <w:pStyle w:val="FirstParagraph"/>
      </w:pPr>
      <w:r>
        <w:t xml:space="preserve">После импорта нужно проверить:</w:t>
      </w:r>
    </w:p>
    <w:p>
      <w:pPr>
        <w:pStyle w:val="Compact"/>
        <w:numPr>
          <w:ilvl w:val="0"/>
          <w:numId w:val="1078"/>
        </w:numPr>
      </w:pPr>
      <w:r>
        <w:t xml:space="preserve">сколько записей было создано как новые;</w:t>
      </w:r>
    </w:p>
    <w:p>
      <w:pPr>
        <w:pStyle w:val="Compact"/>
        <w:numPr>
          <w:ilvl w:val="0"/>
          <w:numId w:val="1078"/>
        </w:numPr>
      </w:pPr>
      <w:r>
        <w:t xml:space="preserve">сколько записей было объединено с существующими сводными записями;</w:t>
      </w:r>
    </w:p>
    <w:p>
      <w:pPr>
        <w:pStyle w:val="Compact"/>
        <w:numPr>
          <w:ilvl w:val="0"/>
          <w:numId w:val="1078"/>
        </w:numPr>
      </w:pPr>
      <w:r>
        <w:t xml:space="preserve">корректно ли заполнено поле</w:t>
      </w:r>
      <w:r>
        <w:t xml:space="preserve"> </w:t>
      </w:r>
      <w:r>
        <w:rPr>
          <w:rStyle w:val="VerbatimChar"/>
        </w:rPr>
        <w:t xml:space="preserve">902</w:t>
      </w:r>
      <w:r>
        <w:t xml:space="preserve">;</w:t>
      </w:r>
    </w:p>
    <w:p>
      <w:pPr>
        <w:pStyle w:val="Compact"/>
        <w:numPr>
          <w:ilvl w:val="0"/>
          <w:numId w:val="1078"/>
        </w:numPr>
      </w:pPr>
      <w:r>
        <w:t xml:space="preserve">добавлено ли технологическое поле</w:t>
      </w:r>
      <w:r>
        <w:t xml:space="preserve"> </w:t>
      </w:r>
      <w:r>
        <w:rPr>
          <w:rStyle w:val="VerbatimChar"/>
        </w:rPr>
        <w:t xml:space="preserve">907</w:t>
      </w:r>
      <w:r>
        <w:t xml:space="preserve"> </w:t>
      </w:r>
      <w:r>
        <w:t xml:space="preserve">для импортированных данных;</w:t>
      </w:r>
    </w:p>
    <w:p>
      <w:pPr>
        <w:pStyle w:val="Compact"/>
        <w:numPr>
          <w:ilvl w:val="0"/>
          <w:numId w:val="1078"/>
        </w:numPr>
      </w:pPr>
      <w:r>
        <w:t xml:space="preserve">не появились ли нежелательные дублеты из-за расхождения свёртки библиографического описания;</w:t>
      </w:r>
    </w:p>
    <w:p>
      <w:pPr>
        <w:pStyle w:val="Compact"/>
        <w:numPr>
          <w:ilvl w:val="0"/>
          <w:numId w:val="1078"/>
        </w:numPr>
      </w:pPr>
      <w:r>
        <w:t xml:space="preserve">корректно ли применился приоритет сигл;</w:t>
      </w:r>
    </w:p>
    <w:p>
      <w:pPr>
        <w:pStyle w:val="Compact"/>
        <w:numPr>
          <w:ilvl w:val="0"/>
          <w:numId w:val="1078"/>
        </w:numPr>
      </w:pPr>
      <w:r>
        <w:t xml:space="preserve">были ли добавлены или заменены поля индексирования и экземпляров согласно настройкам</w:t>
      </w:r>
      <w:r>
        <w:t xml:space="preserve"> </w:t>
      </w:r>
      <w:r>
        <w:rPr>
          <w:rStyle w:val="VerbatimChar"/>
        </w:rPr>
        <w:t xml:space="preserve">SvkAddIND</w:t>
      </w:r>
      <w:r>
        <w:t xml:space="preserve"> </w:t>
      </w:r>
      <w:r>
        <w:t xml:space="preserve">и</w:t>
      </w:r>
      <w:r>
        <w:t xml:space="preserve"> </w:t>
      </w:r>
      <w:r>
        <w:rPr>
          <w:rStyle w:val="VerbatimChar"/>
        </w:rPr>
        <w:t xml:space="preserve">SvkAddEX</w:t>
      </w:r>
      <w:r>
        <w:t xml:space="preserve">.</w:t>
      </w:r>
    </w:p>
    <w:p>
      <w:pPr>
        <w:pStyle w:val="FirstParagraph"/>
      </w:pPr>
      <w:r>
        <w:t xml:space="preserve">Если сводный каталог ведётся современным модулем</w:t>
      </w:r>
      <w:r>
        <w:t xml:space="preserve"> </w:t>
      </w:r>
      <w:r>
        <w:rPr>
          <w:rStyle w:val="VerbatimChar"/>
        </w:rPr>
        <w:t xml:space="preserve">CSpider</w:t>
      </w:r>
      <w:r>
        <w:t xml:space="preserve">, нужно учитывать его таблицу слияний и этапы фоновой обработки. В таком случае импорт со слиянием из старой методики следует рассматривать как отдельную технологию и применять только после сверки с текущей схемой сопровождения сводного каталога.</w:t>
      </w:r>
    </w:p>
    <w:bookmarkEnd w:id="216"/>
    <w:bookmarkEnd w:id="217"/>
    <w:bookmarkEnd w:id="218"/>
    <w:bookmarkStart w:id="244" w:name="Xd23d0c95a12ca057763819b1b1ce249133ca5cd"/>
    <w:p>
      <w:pPr>
        <w:pStyle w:val="Heading2"/>
      </w:pPr>
      <w:r>
        <w:t xml:space="preserve">Добавление электронных документов к библиографической записи</w:t>
      </w:r>
    </w:p>
    <w:p>
      <w:pPr>
        <w:pStyle w:val="FirstParagraph"/>
      </w:pPr>
      <w:r>
        <w:t xml:space="preserve">Раздел подготовлен по материалам старого документа «АРМ Каталогизатор 128».</w:t>
      </w:r>
    </w:p>
    <w:bookmarkStart w:id="220" w:name="назначение"/>
    <w:p>
      <w:pPr>
        <w:pStyle w:val="Heading3"/>
      </w:pPr>
      <w:r>
        <w:t xml:space="preserve">1. Назначение</w:t>
      </w:r>
    </w:p>
    <w:p>
      <w:pPr>
        <w:pStyle w:val="FirstParagraph"/>
      </w:pPr>
      <w:r>
        <w:t xml:space="preserve">В АРМ Каталогизатор можно прикрепить к найденной библиографической записи полный текст, видео- или аудиодокумент. Дальнейшее управление загруженными файлами, правами доступа и обработкой выполняется средствами модуля</w:t>
      </w:r>
      <w:r>
        <w:t xml:space="preserve"> </w:t>
      </w:r>
      <w:hyperlink r:id="rId219">
        <w:r>
          <w:rPr>
            <w:rStyle w:val="Hyperlink"/>
          </w:rPr>
          <w:t xml:space="preserve">FT</w:t>
        </w:r>
      </w:hyperlink>
      <w:r>
        <w:t xml:space="preserve">.</w:t>
      </w:r>
    </w:p>
    <w:bookmarkEnd w:id="220"/>
    <w:bookmarkStart w:id="227" w:name="полный-текст"/>
    <w:p>
      <w:pPr>
        <w:pStyle w:val="Heading3"/>
      </w:pPr>
      <w:r>
        <w:t xml:space="preserve">2. Полный текст</w:t>
      </w:r>
    </w:p>
    <w:p>
      <w:pPr>
        <w:pStyle w:val="Compact"/>
        <w:numPr>
          <w:ilvl w:val="0"/>
          <w:numId w:val="1079"/>
        </w:numPr>
      </w:pPr>
      <w:r>
        <w:t xml:space="preserve">Найдите библиографическую запись, к которой нужно добавить полный текст.</w:t>
      </w:r>
    </w:p>
    <w:p>
      <w:pPr>
        <w:pStyle w:val="Compact"/>
        <w:numPr>
          <w:ilvl w:val="0"/>
          <w:numId w:val="1079"/>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079"/>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000375"/>
            <wp:effectExtent b="0" l="0" r="0" t="0"/>
            <wp:docPr descr="Добавление полного текста" title="" id="222" name="Picture"/>
            <a:graphic>
              <a:graphicData uri="http://schemas.openxmlformats.org/drawingml/2006/picture">
                <pic:pic>
                  <pic:nvPicPr>
                    <pic:cNvPr descr="modules/Cataloguer/Help/CataloguerGuide/AttachDocuments01.png" id="223" name="Picture"/>
                    <pic:cNvPicPr>
                      <a:picLocks noChangeArrowheads="1" noChangeAspect="1"/>
                    </pic:cNvPicPr>
                  </pic:nvPicPr>
                  <pic:blipFill>
                    <a:blip r:embed="rId221"/>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Добавление полного текста</w:t>
      </w:r>
    </w:p>
    <w:p>
      <w:pPr>
        <w:pStyle w:val="Compact"/>
        <w:numPr>
          <w:ilvl w:val="0"/>
          <w:numId w:val="1080"/>
        </w:numPr>
      </w:pPr>
      <w:r>
        <w:t xml:space="preserve">В открывшемся окне выберите файл для загрузки.</w:t>
      </w:r>
    </w:p>
    <w:p>
      <w:pPr>
        <w:pStyle w:val="Compact"/>
        <w:numPr>
          <w:ilvl w:val="0"/>
          <w:numId w:val="1080"/>
        </w:numPr>
      </w:pPr>
      <w:r>
        <w:t xml:space="preserve">Если у документа нестандартная нумерация, уточните номера первой и последней страницы.</w:t>
      </w:r>
    </w:p>
    <w:p>
      <w:pPr>
        <w:pStyle w:val="Compact"/>
        <w:numPr>
          <w:ilvl w:val="0"/>
          <w:numId w:val="1080"/>
        </w:numPr>
      </w:pPr>
      <w:r>
        <w:t xml:space="preserve">Подтвердите загрузку.</w:t>
      </w:r>
    </w:p>
    <w:p>
      <w:pPr>
        <w:pStyle w:val="CaptionedFigure"/>
      </w:pPr>
      <w:r>
        <w:drawing>
          <wp:inline>
            <wp:extent cx="5334000" cy="2070434"/>
            <wp:effectExtent b="0" l="0" r="0" t="0"/>
            <wp:docPr descr="Описание и выбор полного текста" title="" id="225" name="Picture"/>
            <a:graphic>
              <a:graphicData uri="http://schemas.openxmlformats.org/drawingml/2006/picture">
                <pic:pic>
                  <pic:nvPicPr>
                    <pic:cNvPr descr="modules/Cataloguer/Help/CataloguerGuide/AttachDocuments02.png" id="226" name="Picture"/>
                    <pic:cNvPicPr>
                      <a:picLocks noChangeArrowheads="1" noChangeAspect="1"/>
                    </pic:cNvPicPr>
                  </pic:nvPicPr>
                  <pic:blipFill>
                    <a:blip r:embed="rId224"/>
                    <a:stretch>
                      <a:fillRect/>
                    </a:stretch>
                  </pic:blipFill>
                  <pic:spPr bwMode="auto">
                    <a:xfrm>
                      <a:off x="0" y="0"/>
                      <a:ext cx="5334000" cy="2070434"/>
                    </a:xfrm>
                    <a:prstGeom prst="rect">
                      <a:avLst/>
                    </a:prstGeom>
                    <a:noFill/>
                    <a:ln w="9525">
                      <a:noFill/>
                      <a:headEnd/>
                      <a:tailEnd/>
                    </a:ln>
                  </pic:spPr>
                </pic:pic>
              </a:graphicData>
            </a:graphic>
          </wp:inline>
        </w:drawing>
      </w:r>
    </w:p>
    <w:p>
      <w:pPr>
        <w:pStyle w:val="ImageCaption"/>
      </w:pPr>
      <w:r>
        <w:t xml:space="preserve">Описание и выбор полного текста</w:t>
      </w:r>
    </w:p>
    <w:bookmarkEnd w:id="227"/>
    <w:bookmarkStart w:id="228" w:name="просмотр-документа"/>
    <w:p>
      <w:pPr>
        <w:pStyle w:val="Heading3"/>
      </w:pPr>
      <w:r>
        <w:t xml:space="preserve">3. Просмотр документа</w:t>
      </w:r>
    </w:p>
    <w:p>
      <w:pPr>
        <w:pStyle w:val="FirstParagraph"/>
      </w:pPr>
      <w:r>
        <w:t xml:space="preserve">Чтобы открыть уже прикрепленный электронный документ, найдите библиографическую запись и отметьте ее в области</w:t>
      </w:r>
      <w:r>
        <w:t xml:space="preserve"> </w:t>
      </w:r>
      <w:r>
        <w:rPr>
          <w:rStyle w:val="VerbatimChar"/>
        </w:rPr>
        <w:t xml:space="preserve">Результаты поиска</w:t>
      </w:r>
      <w:r>
        <w:t xml:space="preserve">. Пока запись не выделена, кнопка</w:t>
      </w:r>
      <w:r>
        <w:t xml:space="preserve"> </w:t>
      </w:r>
      <w:r>
        <w:rPr>
          <w:rStyle w:val="VerbatimChar"/>
        </w:rPr>
        <w:t xml:space="preserve">Просмотр документа</w:t>
      </w:r>
      <w:r>
        <w:t xml:space="preserve"> </w:t>
      </w:r>
      <w:r>
        <w:t xml:space="preserve">скрыта, потому что действие выполняется только для текущей записи.</w:t>
      </w:r>
    </w:p>
    <w:p>
      <w:pPr>
        <w:pStyle w:val="BodyText"/>
      </w:pPr>
      <w:r>
        <w:t xml:space="preserve">После выбора записи нажмите кнопку</w:t>
      </w:r>
      <w:r>
        <w:t xml:space="preserve"> </w:t>
      </w:r>
      <w:r>
        <w:rPr>
          <w:rStyle w:val="VerbatimChar"/>
        </w:rPr>
        <w:t xml:space="preserve">Просмотр документа</w:t>
      </w:r>
      <w:r>
        <w:t xml:space="preserve">. Если к записи привязана одна доступная ссылка на полный текст, документ откроется сразу. Если ссылок несколько, откроется окно</w:t>
      </w:r>
      <w:r>
        <w:t xml:space="preserve"> </w:t>
      </w:r>
      <w:r>
        <w:rPr>
          <w:rStyle w:val="VerbatimChar"/>
        </w:rPr>
        <w:t xml:space="preserve">Ссылки на полный текст</w:t>
      </w:r>
      <w:r>
        <w:t xml:space="preserve">; выберите нужную строку и нажмите</w:t>
      </w:r>
      <w:r>
        <w:t xml:space="preserve"> </w:t>
      </w:r>
      <w:r>
        <w:rPr>
          <w:rStyle w:val="VerbatimChar"/>
        </w:rPr>
        <w:t xml:space="preserve">Перейти к полному тексту</w:t>
      </w:r>
      <w:r>
        <w:t xml:space="preserve">.</w:t>
      </w:r>
    </w:p>
    <w:bookmarkEnd w:id="228"/>
    <w:bookmarkStart w:id="235" w:name="видеодокумент"/>
    <w:p>
      <w:pPr>
        <w:pStyle w:val="Heading3"/>
      </w:pPr>
      <w:r>
        <w:t xml:space="preserve">4. Видеодокумент</w:t>
      </w:r>
    </w:p>
    <w:p>
      <w:pPr>
        <w:pStyle w:val="Compact"/>
        <w:numPr>
          <w:ilvl w:val="0"/>
          <w:numId w:val="1081"/>
        </w:numPr>
      </w:pPr>
      <w:r>
        <w:t xml:space="preserve">Найдите библиографическую запись, к которой нужно добавить видеодокумент.</w:t>
      </w:r>
    </w:p>
    <w:p>
      <w:pPr>
        <w:pStyle w:val="Compact"/>
        <w:numPr>
          <w:ilvl w:val="0"/>
          <w:numId w:val="1081"/>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81"/>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94758"/>
            <wp:effectExtent b="0" l="0" r="0" t="0"/>
            <wp:docPr descr="Добавление видеодокумента" title="" id="230" name="Picture"/>
            <a:graphic>
              <a:graphicData uri="http://schemas.openxmlformats.org/drawingml/2006/picture">
                <pic:pic>
                  <pic:nvPicPr>
                    <pic:cNvPr descr="modules/Cataloguer/Help/CataloguerGuide/AttachDocuments03.png" id="231" name="Picture"/>
                    <pic:cNvPicPr>
                      <a:picLocks noChangeArrowheads="1" noChangeAspect="1"/>
                    </pic:cNvPicPr>
                  </pic:nvPicPr>
                  <pic:blipFill>
                    <a:blip r:embed="rId229"/>
                    <a:stretch>
                      <a:fillRect/>
                    </a:stretch>
                  </pic:blipFill>
                  <pic:spPr bwMode="auto">
                    <a:xfrm>
                      <a:off x="0" y="0"/>
                      <a:ext cx="5334000" cy="3294758"/>
                    </a:xfrm>
                    <a:prstGeom prst="rect">
                      <a:avLst/>
                    </a:prstGeom>
                    <a:noFill/>
                    <a:ln w="9525">
                      <a:noFill/>
                      <a:headEnd/>
                      <a:tailEnd/>
                    </a:ln>
                  </pic:spPr>
                </pic:pic>
              </a:graphicData>
            </a:graphic>
          </wp:inline>
        </w:drawing>
      </w:r>
    </w:p>
    <w:p>
      <w:pPr>
        <w:pStyle w:val="ImageCaption"/>
      </w:pPr>
      <w:r>
        <w:t xml:space="preserve">Добавление видеодокумента</w:t>
      </w:r>
    </w:p>
    <w:p>
      <w:pPr>
        <w:pStyle w:val="Compact"/>
        <w:numPr>
          <w:ilvl w:val="0"/>
          <w:numId w:val="1082"/>
        </w:numPr>
      </w:pPr>
      <w:r>
        <w:t xml:space="preserve">В открывшемся окне выберите видеофайл и подтвердите загрузку.</w:t>
      </w:r>
    </w:p>
    <w:p>
      <w:pPr>
        <w:pStyle w:val="CaptionedFigure"/>
      </w:pPr>
      <w:r>
        <w:drawing>
          <wp:inline>
            <wp:extent cx="5334000" cy="1666875"/>
            <wp:effectExtent b="0" l="0" r="0" t="0"/>
            <wp:docPr descr="Описание и выбор видеодокумента" title="" id="233" name="Picture"/>
            <a:graphic>
              <a:graphicData uri="http://schemas.openxmlformats.org/drawingml/2006/picture">
                <pic:pic>
                  <pic:nvPicPr>
                    <pic:cNvPr descr="modules/Cataloguer/Help/CataloguerGuide/AttachDocuments04.png" id="234" name="Picture"/>
                    <pic:cNvPicPr>
                      <a:picLocks noChangeArrowheads="1" noChangeAspect="1"/>
                    </pic:cNvPicPr>
                  </pic:nvPicPr>
                  <pic:blipFill>
                    <a:blip r:embed="rId232"/>
                    <a:stretch>
                      <a:fillRect/>
                    </a:stretch>
                  </pic:blipFill>
                  <pic:spPr bwMode="auto">
                    <a:xfrm>
                      <a:off x="0" y="0"/>
                      <a:ext cx="5334000" cy="1666875"/>
                    </a:xfrm>
                    <a:prstGeom prst="rect">
                      <a:avLst/>
                    </a:prstGeom>
                    <a:noFill/>
                    <a:ln w="9525">
                      <a:noFill/>
                      <a:headEnd/>
                      <a:tailEnd/>
                    </a:ln>
                  </pic:spPr>
                </pic:pic>
              </a:graphicData>
            </a:graphic>
          </wp:inline>
        </w:drawing>
      </w:r>
    </w:p>
    <w:p>
      <w:pPr>
        <w:pStyle w:val="ImageCaption"/>
      </w:pPr>
      <w:r>
        <w:t xml:space="preserve">Описание и выбор видеодокумента</w:t>
      </w:r>
    </w:p>
    <w:bookmarkEnd w:id="235"/>
    <w:bookmarkStart w:id="242" w:name="аудиодокумент"/>
    <w:p>
      <w:pPr>
        <w:pStyle w:val="Heading3"/>
      </w:pPr>
      <w:r>
        <w:t xml:space="preserve">5. Аудиодокумент</w:t>
      </w:r>
    </w:p>
    <w:p>
      <w:pPr>
        <w:pStyle w:val="Compact"/>
        <w:numPr>
          <w:ilvl w:val="0"/>
          <w:numId w:val="1083"/>
        </w:numPr>
      </w:pPr>
      <w:r>
        <w:t xml:space="preserve">Найдите библиографическую запись, к которой нужно добавить аудиодокумент.</w:t>
      </w:r>
    </w:p>
    <w:p>
      <w:pPr>
        <w:pStyle w:val="Compact"/>
        <w:numPr>
          <w:ilvl w:val="0"/>
          <w:numId w:val="1083"/>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83"/>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85153"/>
            <wp:effectExtent b="0" l="0" r="0" t="0"/>
            <wp:docPr descr="Добавление аудиодокумента" title="" id="237" name="Picture"/>
            <a:graphic>
              <a:graphicData uri="http://schemas.openxmlformats.org/drawingml/2006/picture">
                <pic:pic>
                  <pic:nvPicPr>
                    <pic:cNvPr descr="modules/Cataloguer/Help/CataloguerGuide/AttachDocuments05.png" id="238" name="Picture"/>
                    <pic:cNvPicPr>
                      <a:picLocks noChangeArrowheads="1" noChangeAspect="1"/>
                    </pic:cNvPicPr>
                  </pic:nvPicPr>
                  <pic:blipFill>
                    <a:blip r:embed="rId236"/>
                    <a:stretch>
                      <a:fillRect/>
                    </a:stretch>
                  </pic:blipFill>
                  <pic:spPr bwMode="auto">
                    <a:xfrm>
                      <a:off x="0" y="0"/>
                      <a:ext cx="5334000" cy="3285153"/>
                    </a:xfrm>
                    <a:prstGeom prst="rect">
                      <a:avLst/>
                    </a:prstGeom>
                    <a:noFill/>
                    <a:ln w="9525">
                      <a:noFill/>
                      <a:headEnd/>
                      <a:tailEnd/>
                    </a:ln>
                  </pic:spPr>
                </pic:pic>
              </a:graphicData>
            </a:graphic>
          </wp:inline>
        </w:drawing>
      </w:r>
    </w:p>
    <w:p>
      <w:pPr>
        <w:pStyle w:val="ImageCaption"/>
      </w:pPr>
      <w:r>
        <w:t xml:space="preserve">Добавление аудиодокумента</w:t>
      </w:r>
    </w:p>
    <w:p>
      <w:pPr>
        <w:pStyle w:val="Compact"/>
        <w:numPr>
          <w:ilvl w:val="0"/>
          <w:numId w:val="1084"/>
        </w:numPr>
      </w:pPr>
      <w:r>
        <w:t xml:space="preserve">В открывшемся окне выберите аудиофайл и подтвердите загрузку.</w:t>
      </w:r>
    </w:p>
    <w:p>
      <w:pPr>
        <w:pStyle w:val="CaptionedFigure"/>
      </w:pPr>
      <w:r>
        <w:drawing>
          <wp:inline>
            <wp:extent cx="5334000" cy="2290459"/>
            <wp:effectExtent b="0" l="0" r="0" t="0"/>
            <wp:docPr descr="Описание и выбор аудиодокумента" title="" id="240" name="Picture"/>
            <a:graphic>
              <a:graphicData uri="http://schemas.openxmlformats.org/drawingml/2006/picture">
                <pic:pic>
                  <pic:nvPicPr>
                    <pic:cNvPr descr="modules/Cataloguer/Help/CataloguerGuide/AttachDocuments06.png" id="241" name="Picture"/>
                    <pic:cNvPicPr>
                      <a:picLocks noChangeArrowheads="1" noChangeAspect="1"/>
                    </pic:cNvPicPr>
                  </pic:nvPicPr>
                  <pic:blipFill>
                    <a:blip r:embed="rId239"/>
                    <a:stretch>
                      <a:fillRect/>
                    </a:stretch>
                  </pic:blipFill>
                  <pic:spPr bwMode="auto">
                    <a:xfrm>
                      <a:off x="0" y="0"/>
                      <a:ext cx="5334000" cy="2290459"/>
                    </a:xfrm>
                    <a:prstGeom prst="rect">
                      <a:avLst/>
                    </a:prstGeom>
                    <a:noFill/>
                    <a:ln w="9525">
                      <a:noFill/>
                      <a:headEnd/>
                      <a:tailEnd/>
                    </a:ln>
                  </pic:spPr>
                </pic:pic>
              </a:graphicData>
            </a:graphic>
          </wp:inline>
        </w:drawing>
      </w:r>
    </w:p>
    <w:p>
      <w:pPr>
        <w:pStyle w:val="ImageCaption"/>
      </w:pPr>
      <w:r>
        <w:t xml:space="preserve">Описание и выбор аудиодокумента</w:t>
      </w:r>
    </w:p>
    <w:bookmarkEnd w:id="242"/>
    <w:bookmarkStart w:id="243" w:name="результат"/>
    <w:p>
      <w:pPr>
        <w:pStyle w:val="Heading3"/>
      </w:pPr>
      <w:r>
        <w:t xml:space="preserve">6. Результат</w:t>
      </w:r>
    </w:p>
    <w:p>
      <w:pPr>
        <w:pStyle w:val="FirstParagraph"/>
      </w:pPr>
      <w:r>
        <w:t xml:space="preserve">Выбранный файл связывается с библиографической записью и передаётся в обработку электронной библиотеки.</w:t>
      </w:r>
    </w:p>
    <w:bookmarkEnd w:id="243"/>
    <w:bookmarkEnd w:id="244"/>
    <w:bookmarkStart w:id="255" w:name="Xf354b1947d717773a802f6777136f3e079f49c6"/>
    <w:p>
      <w:pPr>
        <w:pStyle w:val="Heading2"/>
      </w:pPr>
      <w:r>
        <w:t xml:space="preserve">Создание новой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245" w:name="предварительные-условия"/>
    <w:p>
      <w:pPr>
        <w:pStyle w:val="Heading3"/>
      </w:pPr>
      <w:r>
        <w:t xml:space="preserve">1. Предварительные условия</w:t>
      </w:r>
    </w:p>
    <w:p>
      <w:pPr>
        <w:pStyle w:val="FirstParagraph"/>
      </w:pPr>
      <w:r>
        <w:t xml:space="preserve">Перед созданием записи выберите базу данных электронного каталога, в которую нужно добавить библиографическую запись.</w:t>
      </w:r>
    </w:p>
    <w:bookmarkEnd w:id="245"/>
    <w:bookmarkStart w:id="252" w:name="порядок-действий"/>
    <w:p>
      <w:pPr>
        <w:pStyle w:val="Heading3"/>
      </w:pPr>
      <w:r>
        <w:t xml:space="preserve">2. Порядок действий</w:t>
      </w:r>
    </w:p>
    <w:p>
      <w:pPr>
        <w:pStyle w:val="Compact"/>
        <w:numPr>
          <w:ilvl w:val="0"/>
          <w:numId w:val="1085"/>
        </w:numPr>
      </w:pPr>
      <w:r>
        <w:t xml:space="preserve">На панели инструментов 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247" name="Picture"/>
            <a:graphic>
              <a:graphicData uri="http://schemas.openxmlformats.org/drawingml/2006/picture">
                <pic:pic>
                  <pic:nvPicPr>
                    <pic:cNvPr descr="modules/Cataloguer/Help/CataloguerGuide/CreateRecord01.png" id="248" name="Picture"/>
                    <pic:cNvPicPr>
                      <a:picLocks noChangeArrowheads="1" noChangeAspect="1"/>
                    </pic:cNvPicPr>
                  </pic:nvPicPr>
                  <pic:blipFill>
                    <a:blip r:embed="rId246"/>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086"/>
        </w:numPr>
      </w:pPr>
      <w:r>
        <w:t xml:space="preserve">После открытия окна</w:t>
      </w:r>
      <w:r>
        <w:t xml:space="preserve"> </w:t>
      </w:r>
      <w:r>
        <w:rPr>
          <w:rStyle w:val="VerbatimChar"/>
        </w:rPr>
        <w:t xml:space="preserve">Редактор записи</w:t>
      </w:r>
      <w:r>
        <w:t xml:space="preserve"> </w:t>
      </w:r>
      <w:r>
        <w:t xml:space="preserve">выберите рабочий лист, соответствующий создаваемой записи.</w:t>
      </w:r>
    </w:p>
    <w:p>
      <w:pPr>
        <w:pStyle w:val="Compact"/>
        <w:numPr>
          <w:ilvl w:val="0"/>
          <w:numId w:val="1086"/>
        </w:numPr>
      </w:pPr>
      <w:r>
        <w:t xml:space="preserve">Заполните обязательные поля библиографической записи. В типовом сценарии используются поля</w:t>
      </w:r>
      <w:r>
        <w:t xml:space="preserve"> </w:t>
      </w:r>
      <w:r>
        <w:rPr>
          <w:rStyle w:val="VerbatimChar"/>
        </w:rPr>
        <w:t xml:space="preserve">200</w:t>
      </w:r>
      <w:r>
        <w:t xml:space="preserve">,</w:t>
      </w:r>
      <w:r>
        <w:t xml:space="preserve"> </w:t>
      </w:r>
      <w:r>
        <w:rPr>
          <w:rStyle w:val="VerbatimChar"/>
        </w:rPr>
        <w:t xml:space="preserve">700</w:t>
      </w:r>
      <w:r>
        <w:t xml:space="preserve"> </w:t>
      </w:r>
      <w:r>
        <w:t xml:space="preserve">и</w:t>
      </w:r>
      <w:r>
        <w:t xml:space="preserve"> </w:t>
      </w:r>
      <w:r>
        <w:rPr>
          <w:rStyle w:val="VerbatimChar"/>
        </w:rPr>
        <w:t xml:space="preserve">910</w:t>
      </w:r>
      <w:r>
        <w:t xml:space="preserve">.</w:t>
      </w:r>
    </w:p>
    <w:p>
      <w:pPr>
        <w:pStyle w:val="Compact"/>
        <w:numPr>
          <w:ilvl w:val="0"/>
          <w:numId w:val="1086"/>
        </w:numPr>
      </w:pPr>
      <w:r>
        <w:t xml:space="preserve">Чтобы открыть окно редактирования поля, выделите нужное поле и нажмите кнопку</w:t>
      </w:r>
      <w:r>
        <w:t xml:space="preserve"> </w:t>
      </w:r>
      <w:r>
        <w:rPr>
          <w:rStyle w:val="VerbatimChar"/>
        </w:rPr>
        <w:t xml:space="preserve">...</w:t>
      </w:r>
      <w:r>
        <w:t xml:space="preserve"> </w:t>
      </w:r>
      <w:r>
        <w:t xml:space="preserve">или клавишу</w:t>
      </w:r>
      <w:r>
        <w:t xml:space="preserve"> </w:t>
      </w:r>
      <w:r>
        <w:rPr>
          <w:rStyle w:val="VerbatimChar"/>
        </w:rPr>
        <w:t xml:space="preserve">F2</w:t>
      </w:r>
      <w:r>
        <w:t xml:space="preserve">.</w:t>
      </w:r>
    </w:p>
    <w:p>
      <w:pPr>
        <w:pStyle w:val="Compact"/>
        <w:numPr>
          <w:ilvl w:val="0"/>
          <w:numId w:val="1086"/>
        </w:numPr>
      </w:pPr>
      <w:r>
        <w:t xml:space="preserve">Введите значения поля и нажмите</w:t>
      </w:r>
      <w:r>
        <w:t xml:space="preserve"> </w:t>
      </w:r>
      <w:r>
        <w:rPr>
          <w:rStyle w:val="VerbatimChar"/>
        </w:rPr>
        <w:t xml:space="preserve">Ok</w:t>
      </w:r>
      <w:r>
        <w:t xml:space="preserve">.</w:t>
      </w:r>
    </w:p>
    <w:p>
      <w:pPr>
        <w:pStyle w:val="Compact"/>
        <w:numPr>
          <w:ilvl w:val="0"/>
          <w:numId w:val="1086"/>
        </w:numPr>
      </w:pPr>
      <w:r>
        <w:t xml:space="preserve">После заполнения записи нажмите</w:t>
      </w:r>
      <w:r>
        <w:t xml:space="preserve"> </w:t>
      </w:r>
      <w:r>
        <w:rPr>
          <w:rStyle w:val="VerbatimChar"/>
        </w:rPr>
        <w:t xml:space="preserve">Сохранить и закрыть</w:t>
      </w:r>
      <w:r>
        <w:t xml:space="preserve">.</w:t>
      </w:r>
    </w:p>
    <w:p>
      <w:pPr>
        <w:pStyle w:val="CaptionedFigure"/>
      </w:pPr>
      <w:r>
        <w:drawing>
          <wp:inline>
            <wp:extent cx="5334000" cy="3311297"/>
            <wp:effectExtent b="0" l="0" r="0" t="0"/>
            <wp:docPr descr="Заполнение полей новой записи" title="" id="250" name="Picture"/>
            <a:graphic>
              <a:graphicData uri="http://schemas.openxmlformats.org/drawingml/2006/picture">
                <pic:pic>
                  <pic:nvPicPr>
                    <pic:cNvPr descr="modules/Cataloguer/Help/CataloguerGuide/CreateRecord02.png" id="251" name="Picture"/>
                    <pic:cNvPicPr>
                      <a:picLocks noChangeArrowheads="1" noChangeAspect="1"/>
                    </pic:cNvPicPr>
                  </pic:nvPicPr>
                  <pic:blipFill>
                    <a:blip r:embed="rId249"/>
                    <a:stretch>
                      <a:fillRect/>
                    </a:stretch>
                  </pic:blipFill>
                  <pic:spPr bwMode="auto">
                    <a:xfrm>
                      <a:off x="0" y="0"/>
                      <a:ext cx="5334000" cy="3311297"/>
                    </a:xfrm>
                    <a:prstGeom prst="rect">
                      <a:avLst/>
                    </a:prstGeom>
                    <a:noFill/>
                    <a:ln w="9525">
                      <a:noFill/>
                      <a:headEnd/>
                      <a:tailEnd/>
                    </a:ln>
                  </pic:spPr>
                </pic:pic>
              </a:graphicData>
            </a:graphic>
          </wp:inline>
        </w:drawing>
      </w:r>
    </w:p>
    <w:p>
      <w:pPr>
        <w:pStyle w:val="ImageCaption"/>
      </w:pPr>
      <w:r>
        <w:t xml:space="preserve">Заполнение полей новой записи</w:t>
      </w:r>
    </w:p>
    <w:bookmarkEnd w:id="252"/>
    <w:bookmarkStart w:id="253" w:name="результат-1"/>
    <w:p>
      <w:pPr>
        <w:pStyle w:val="Heading3"/>
      </w:pPr>
      <w:r>
        <w:t xml:space="preserve">3. Результат</w:t>
      </w:r>
    </w:p>
    <w:p>
      <w:pPr>
        <w:pStyle w:val="FirstParagraph"/>
      </w:pPr>
      <w:r>
        <w:t xml:space="preserve">Новая библиографическая запись сохраняется в выбранной базе данных электронного каталога.</w:t>
      </w:r>
    </w:p>
    <w:bookmarkEnd w:id="253"/>
    <w:bookmarkStart w:id="254" w:name="обновление-открытой-новой-записи"/>
    <w:p>
      <w:pPr>
        <w:pStyle w:val="Heading3"/>
      </w:pPr>
      <w:r>
        <w:t xml:space="preserve">4. Обновление открытой новой записи</w:t>
      </w:r>
    </w:p>
    <w:p>
      <w:pPr>
        <w:pStyle w:val="FirstParagraph"/>
      </w:pPr>
      <w:r>
        <w:t xml:space="preserve">До сохранения новая запись открыта в редакторе как отдельный черновик выбранной БД. Если в это время другие пользователи или фоновые процессы пополняют ту же БД, открытый черновик не переключается на добавленные ими записи.</w:t>
      </w:r>
    </w:p>
    <w:p>
      <w:pPr>
        <w:pStyle w:val="BodyText"/>
      </w:pPr>
      <w:r>
        <w:t xml:space="preserve">Команда</w:t>
      </w:r>
      <w:r>
        <w:t xml:space="preserve"> </w:t>
      </w:r>
      <w:r>
        <w:rPr>
          <w:rStyle w:val="VerbatimChar"/>
        </w:rPr>
        <w:t xml:space="preserve">Обновить данные в редакторе</w:t>
      </w:r>
      <w:r>
        <w:t xml:space="preserve"> </w:t>
      </w:r>
      <w:r>
        <w:t xml:space="preserve">пересчитывает данные текущего черновика и оставляет пользователя в окне создания новой записи. После сохранения и закрытия редактора список записей можно обновить отдельно, чтобы увидеть новые записи, добавленные за время работы.</w:t>
      </w:r>
    </w:p>
    <w:bookmarkEnd w:id="254"/>
    <w:bookmarkEnd w:id="255"/>
    <w:bookmarkStart w:id="274" w:name="X6572282fb65b5d625f3ed00211ffae847d02598"/>
    <w:p>
      <w:pPr>
        <w:pStyle w:val="Heading2"/>
      </w:pPr>
      <w:r>
        <w:t xml:space="preserve">Редактирование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256" w:name="предварительные-условия-1"/>
    <w:p>
      <w:pPr>
        <w:pStyle w:val="Heading3"/>
      </w:pPr>
      <w:r>
        <w:t xml:space="preserve">1. Предварительные условия</w:t>
      </w:r>
    </w:p>
    <w:p>
      <w:pPr>
        <w:pStyle w:val="FirstParagraph"/>
      </w:pPr>
      <w:r>
        <w:t xml:space="preserve">Перед редактированием найдите запись, которую нужно изменить, и убедитесь, что у пользователя есть права на корректировку записей выбранной базы данных.</w:t>
      </w:r>
    </w:p>
    <w:bookmarkEnd w:id="256"/>
    <w:bookmarkStart w:id="267" w:name="порядок-действий-1"/>
    <w:p>
      <w:pPr>
        <w:pStyle w:val="Heading3"/>
      </w:pPr>
      <w:r>
        <w:t xml:space="preserve">2. Порядок действий</w:t>
      </w:r>
    </w:p>
    <w:p>
      <w:pPr>
        <w:pStyle w:val="Compact"/>
        <w:numPr>
          <w:ilvl w:val="0"/>
          <w:numId w:val="1087"/>
        </w:numPr>
      </w:pPr>
      <w:r>
        <w:t xml:space="preserve">В области поиска найдите нужную запись. Например, для поиска журнальных записей можно использовать вид/тип документа</w:t>
      </w:r>
      <w:r>
        <w:t xml:space="preserve"> </w:t>
      </w:r>
      <w:r>
        <w:rPr>
          <w:rStyle w:val="VerbatimChar"/>
        </w:rPr>
        <w:t xml:space="preserve">02</w:t>
      </w:r>
      <w:r>
        <w:t xml:space="preserve">.</w:t>
      </w:r>
    </w:p>
    <w:p>
      <w:pPr>
        <w:pStyle w:val="Compact"/>
        <w:numPr>
          <w:ilvl w:val="0"/>
          <w:numId w:val="1087"/>
        </w:numPr>
      </w:pPr>
      <w:r>
        <w:t xml:space="preserve">В области</w:t>
      </w:r>
      <w:r>
        <w:t xml:space="preserve"> </w:t>
      </w:r>
      <w:r>
        <w:rPr>
          <w:rStyle w:val="VerbatimChar"/>
        </w:rPr>
        <w:t xml:space="preserve">Результаты поиска</w:t>
      </w:r>
      <w:r>
        <w:t xml:space="preserve"> </w:t>
      </w:r>
      <w:r>
        <w:t xml:space="preserve">выделите запись.</w:t>
      </w:r>
    </w:p>
    <w:p>
      <w:pPr>
        <w:pStyle w:val="CaptionedFigure"/>
      </w:pPr>
      <w:r>
        <w:drawing>
          <wp:inline>
            <wp:extent cx="5334000" cy="3516923"/>
            <wp:effectExtent b="0" l="0" r="0" t="0"/>
            <wp:docPr descr="Выбор журнальной записи в результатах поиска" title="" id="258" name="Picture"/>
            <a:graphic>
              <a:graphicData uri="http://schemas.openxmlformats.org/drawingml/2006/picture">
                <pic:pic>
                  <pic:nvPicPr>
                    <pic:cNvPr descr="modules/Cataloguer/Help/CataloguerGuide/EditRecordSearchResult.png" id="259" name="Picture"/>
                    <pic:cNvPicPr>
                      <a:picLocks noChangeArrowheads="1" noChangeAspect="1"/>
                    </pic:cNvPicPr>
                  </pic:nvPicPr>
                  <pic:blipFill>
                    <a:blip r:embed="rId25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Выбор журнальной записи в результатах поиска</w:t>
      </w:r>
    </w:p>
    <w:p>
      <w:pPr>
        <w:pStyle w:val="Compact"/>
        <w:numPr>
          <w:ilvl w:val="0"/>
          <w:numId w:val="1088"/>
        </w:numPr>
      </w:pPr>
      <w:r>
        <w:t xml:space="preserve">На панели инструментов нажмите кнопку</w:t>
      </w:r>
      <w:r>
        <w:t xml:space="preserve"> </w:t>
      </w:r>
      <w:r>
        <w:rPr>
          <w:rStyle w:val="VerbatimChar"/>
        </w:rPr>
        <w:t xml:space="preserve">Редактировать текущую запись</w:t>
      </w:r>
      <w:r>
        <w:t xml:space="preserve">.</w:t>
      </w:r>
    </w:p>
    <w:p>
      <w:pPr>
        <w:pStyle w:val="FirstParagraph"/>
      </w:pPr>
      <w:r>
        <w:t xml:space="preserve">Кнопка редактирования открывает редактор записи. Если для списка настроено отдельное действие двойного щелчка, двойной щелчок по строке может открывать полный формат просмотра, но не заменяет команду корректировки.</w:t>
      </w:r>
    </w:p>
    <w:p>
      <w:pPr>
        <w:pStyle w:val="CaptionedFigure"/>
      </w:pPr>
      <w:r>
        <w:drawing>
          <wp:inline>
            <wp:extent cx="5334000" cy="3304972"/>
            <wp:effectExtent b="0" l="0" r="0" t="0"/>
            <wp:docPr descr="Редактирование записи в БД" title="" id="261" name="Picture"/>
            <a:graphic>
              <a:graphicData uri="http://schemas.openxmlformats.org/drawingml/2006/picture">
                <pic:pic>
                  <pic:nvPicPr>
                    <pic:cNvPr descr="modules/Cataloguer/Help/CataloguerGuide/EditRecord01.png" id="262" name="Picture"/>
                    <pic:cNvPicPr>
                      <a:picLocks noChangeArrowheads="1" noChangeAspect="1"/>
                    </pic:cNvPicPr>
                  </pic:nvPicPr>
                  <pic:blipFill>
                    <a:blip r:embed="rId260"/>
                    <a:stretch>
                      <a:fillRect/>
                    </a:stretch>
                  </pic:blipFill>
                  <pic:spPr bwMode="auto">
                    <a:xfrm>
                      <a:off x="0" y="0"/>
                      <a:ext cx="5334000" cy="3304972"/>
                    </a:xfrm>
                    <a:prstGeom prst="rect">
                      <a:avLst/>
                    </a:prstGeom>
                    <a:noFill/>
                    <a:ln w="9525">
                      <a:noFill/>
                      <a:headEnd/>
                      <a:tailEnd/>
                    </a:ln>
                  </pic:spPr>
                </pic:pic>
              </a:graphicData>
            </a:graphic>
          </wp:inline>
        </w:drawing>
      </w:r>
    </w:p>
    <w:p>
      <w:pPr>
        <w:pStyle w:val="ImageCaption"/>
      </w:pPr>
      <w:r>
        <w:t xml:space="preserve">Редактирование записи в БД</w:t>
      </w:r>
    </w:p>
    <w:p>
      <w:pPr>
        <w:pStyle w:val="BodyText"/>
      </w:pPr>
      <w:r>
        <w:t xml:space="preserve">Если рабочее место использует RFID-считыватель, метку можно вставлять в активное поле редактора через</w:t>
      </w:r>
      <w:r>
        <w:t xml:space="preserve"> </w:t>
      </w:r>
      <w:hyperlink r:id="rId263">
        <w:r>
          <w:rPr>
            <w:rStyle w:val="Hyperlink"/>
          </w:rPr>
          <w:t xml:space="preserve">фоновую программу</w:t>
        </w:r>
        <w:r>
          <w:rPr>
            <w:rStyle w:val="Hyperlink"/>
          </w:rPr>
          <w:t xml:space="preserve"> </w:t>
        </w:r>
        <w:r>
          <w:rPr>
            <w:rStyle w:val="VerbatimChar"/>
          </w:rPr>
          <w:t xml:space="preserve">irbis_rfid</w:t>
        </w:r>
      </w:hyperlink>
      <w:r>
        <w:t xml:space="preserve">.</w:t>
      </w:r>
    </w:p>
    <w:p>
      <w:pPr>
        <w:pStyle w:val="Compact"/>
        <w:numPr>
          <w:ilvl w:val="0"/>
          <w:numId w:val="1089"/>
        </w:numPr>
      </w:pPr>
      <w:r>
        <w:t xml:space="preserve">В окне</w:t>
      </w:r>
      <w:r>
        <w:t xml:space="preserve"> </w:t>
      </w:r>
      <w:r>
        <w:rPr>
          <w:rStyle w:val="VerbatimChar"/>
        </w:rPr>
        <w:t xml:space="preserve">Редактор записи</w:t>
      </w:r>
      <w:r>
        <w:t xml:space="preserve"> </w:t>
      </w:r>
      <w:r>
        <w:t xml:space="preserve">выберите рабочий лист, соответствующий библиографической записи и задаче редактирования.</w:t>
      </w:r>
    </w:p>
    <w:p>
      <w:pPr>
        <w:pStyle w:val="Compact"/>
        <w:numPr>
          <w:ilvl w:val="0"/>
          <w:numId w:val="1089"/>
        </w:numPr>
      </w:pPr>
      <w:r>
        <w:t xml:space="preserve">Раскройте группу полей, которую нужно изменить.</w:t>
      </w:r>
    </w:p>
    <w:p>
      <w:pPr>
        <w:pStyle w:val="Compact"/>
        <w:numPr>
          <w:ilvl w:val="0"/>
          <w:numId w:val="1089"/>
        </w:numPr>
      </w:pPr>
      <w:r>
        <w:t xml:space="preserve">Выделите поле или подполе.</w:t>
      </w:r>
    </w:p>
    <w:p>
      <w:pPr>
        <w:pStyle w:val="Compact"/>
        <w:numPr>
          <w:ilvl w:val="0"/>
          <w:numId w:val="1089"/>
        </w:numPr>
      </w:pPr>
      <w:r>
        <w:t xml:space="preserve">Для открытия окна средств ввода нажмите кнопку</w:t>
      </w:r>
      <w:r>
        <w:t xml:space="preserve"> </w:t>
      </w:r>
      <w:r>
        <w:rPr>
          <w:rStyle w:val="VerbatimChar"/>
        </w:rPr>
        <w:t xml:space="preserve">...</w:t>
      </w:r>
      <w:r>
        <w:t xml:space="preserve">, клавишу</w:t>
      </w:r>
      <w:r>
        <w:t xml:space="preserve"> </w:t>
      </w:r>
      <w:r>
        <w:rPr>
          <w:rStyle w:val="VerbatimChar"/>
        </w:rPr>
        <w:t xml:space="preserve">F2</w:t>
      </w:r>
      <w:r>
        <w:t xml:space="preserve"> </w:t>
      </w:r>
      <w:r>
        <w:t xml:space="preserve">или клавишу</w:t>
      </w:r>
      <w:r>
        <w:t xml:space="preserve"> </w:t>
      </w:r>
      <w:r>
        <w:rPr>
          <w:rStyle w:val="VerbatimChar"/>
        </w:rPr>
        <w:t xml:space="preserve">Enter</w:t>
      </w:r>
      <w:r>
        <w:t xml:space="preserve">.</w:t>
      </w:r>
    </w:p>
    <w:p>
      <w:pPr>
        <w:pStyle w:val="Compact"/>
        <w:numPr>
          <w:ilvl w:val="0"/>
          <w:numId w:val="1089"/>
        </w:numPr>
      </w:pPr>
      <w:r>
        <w:t xml:space="preserve">Если выделена группа полей,</w:t>
      </w:r>
      <w:r>
        <w:t xml:space="preserve"> </w:t>
      </w:r>
      <w:r>
        <w:rPr>
          <w:rStyle w:val="VerbatimChar"/>
        </w:rPr>
        <w:t xml:space="preserve">Enter</w:t>
      </w:r>
      <w:r>
        <w:t xml:space="preserve"> </w:t>
      </w:r>
      <w:r>
        <w:t xml:space="preserve">раскрывает ее. После раскрытия выберите конкретное поле или подполе и снова нажмите</w:t>
      </w:r>
      <w:r>
        <w:t xml:space="preserve"> </w:t>
      </w:r>
      <w:r>
        <w:rPr>
          <w:rStyle w:val="VerbatimChar"/>
        </w:rPr>
        <w:t xml:space="preserve">Enter</w:t>
      </w:r>
      <w:r>
        <w:t xml:space="preserve">, чтобы открыть окно средств ввода.</w:t>
      </w:r>
    </w:p>
    <w:p>
      <w:pPr>
        <w:pStyle w:val="Compact"/>
        <w:numPr>
          <w:ilvl w:val="0"/>
          <w:numId w:val="1089"/>
        </w:numPr>
      </w:pPr>
      <w:r>
        <w:t xml:space="preserve">Внесите изменения и нажмите</w:t>
      </w:r>
      <w:r>
        <w:t xml:space="preserve"> </w:t>
      </w:r>
      <w:r>
        <w:rPr>
          <w:rStyle w:val="VerbatimChar"/>
        </w:rPr>
        <w:t xml:space="preserve">Ok</w:t>
      </w:r>
      <w:r>
        <w:t xml:space="preserve">.</w:t>
      </w:r>
    </w:p>
    <w:p>
      <w:pPr>
        <w:pStyle w:val="Compact"/>
        <w:numPr>
          <w:ilvl w:val="0"/>
          <w:numId w:val="1089"/>
        </w:numPr>
      </w:pPr>
      <w:r>
        <w:t xml:space="preserve">После завершения корректировки нажмите</w:t>
      </w:r>
      <w:r>
        <w:t xml:space="preserve"> </w:t>
      </w:r>
      <w:r>
        <w:rPr>
          <w:rStyle w:val="VerbatimChar"/>
        </w:rPr>
        <w:t xml:space="preserve">Сохранить и закрыть</w:t>
      </w:r>
      <w:r>
        <w:t xml:space="preserve">.</w:t>
      </w:r>
    </w:p>
    <w:p>
      <w:pPr>
        <w:pStyle w:val="FirstParagraph"/>
      </w:pPr>
      <w:r>
        <w:t xml:space="preserve">После успешного сохранения система показывает информационное сообщение</w:t>
      </w:r>
      <w:r>
        <w:t xml:space="preserve"> </w:t>
      </w:r>
      <w:r>
        <w:rPr>
          <w:rStyle w:val="VerbatimChar"/>
        </w:rPr>
        <w:t xml:space="preserve">Запись сохранена</w:t>
      </w:r>
      <w:r>
        <w:t xml:space="preserve">. Это сообщение не требует обязательного нажатия</w:t>
      </w:r>
      <w:r>
        <w:t xml:space="preserve"> </w:t>
      </w:r>
      <w:r>
        <w:rPr>
          <w:rStyle w:val="VerbatimChar"/>
        </w:rPr>
        <w:t xml:space="preserve">ОК</w:t>
      </w:r>
      <w:r>
        <w:t xml:space="preserve">: окно закрывается автоматически примерно через две секунды.</w:t>
      </w:r>
    </w:p>
    <w:p>
      <w:pPr>
        <w:pStyle w:val="BodyText"/>
      </w:pPr>
      <w:r>
        <w:t xml:space="preserve">В строковых полях редактора можно исправить текст, набранный в неправильной русской или английской раскладке. Установите курсор в редактируемую строку и нажмите</w:t>
      </w:r>
      <w:r>
        <w:t xml:space="preserve"> </w:t>
      </w:r>
      <w:r>
        <w:rPr>
          <w:rStyle w:val="VerbatimChar"/>
        </w:rPr>
        <w:t xml:space="preserve">Alt+F6</w:t>
      </w:r>
      <w:r>
        <w:t xml:space="preserve">: система преобразует символы всей строки в соответствующие символы другой раскладки. Эта комбинация используется вместо обычной</w:t>
      </w:r>
      <w:r>
        <w:t xml:space="preserve"> </w:t>
      </w:r>
      <w:r>
        <w:rPr>
          <w:rStyle w:val="VerbatimChar"/>
        </w:rPr>
        <w:t xml:space="preserve">F6</w:t>
      </w:r>
      <w:r>
        <w:t xml:space="preserve">, так как</w:t>
      </w:r>
      <w:r>
        <w:t xml:space="preserve"> </w:t>
      </w:r>
      <w:r>
        <w:rPr>
          <w:rStyle w:val="VerbatimChar"/>
        </w:rPr>
        <w:t xml:space="preserve">F6</w:t>
      </w:r>
      <w:r>
        <w:t xml:space="preserve"> </w:t>
      </w:r>
      <w:r>
        <w:t xml:space="preserve">обрабатывается браузером.</w:t>
      </w:r>
    </w:p>
    <w:p>
      <w:pPr>
        <w:pStyle w:val="BodyText"/>
      </w:pPr>
      <w:r>
        <w:t xml:space="preserve">В строковых полях редактора можно изменить регистр символов горячей клавишей</w:t>
      </w:r>
      <w:r>
        <w:t xml:space="preserve"> </w:t>
      </w:r>
      <w:r>
        <w:rPr>
          <w:rStyle w:val="VerbatimChar"/>
        </w:rPr>
        <w:t xml:space="preserve">Alt+F7</w:t>
      </w:r>
      <w:r>
        <w:t xml:space="preserve">. Откройте поле или подполе для редактирования, установите курсор в текст и нажмите</w:t>
      </w:r>
      <w:r>
        <w:t xml:space="preserve"> </w:t>
      </w:r>
      <w:r>
        <w:rPr>
          <w:rStyle w:val="VerbatimChar"/>
        </w:rPr>
        <w:t xml:space="preserve">Alt+F7</w:t>
      </w:r>
      <w:r>
        <w:t xml:space="preserve">: система заменит прописные буквы на строчные, а строчные - на прописные во всем текущем значении. Это удобно, если значение из словаря или вставленный текст нужно быстро привести к противоположному регистру.</w:t>
      </w:r>
    </w:p>
    <w:p>
      <w:pPr>
        <w:pStyle w:val="CaptionedFigure"/>
      </w:pPr>
      <w:r>
        <w:drawing>
          <wp:inline>
            <wp:extent cx="5334000" cy="3516923"/>
            <wp:effectExtent b="0" l="0" r="0" t="0"/>
            <wp:docPr descr="Открытие записи в редакторе" title="" id="265" name="Picture"/>
            <a:graphic>
              <a:graphicData uri="http://schemas.openxmlformats.org/drawingml/2006/picture">
                <pic:pic>
                  <pic:nvPicPr>
                    <pic:cNvPr descr="modules/Cataloguer/Help/CataloguerGuide/EditRecordEditor.png" id="266" name="Picture"/>
                    <pic:cNvPicPr>
                      <a:picLocks noChangeArrowheads="1" noChangeAspect="1"/>
                    </pic:cNvPicPr>
                  </pic:nvPicPr>
                  <pic:blipFill>
                    <a:blip r:embed="rId264"/>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Открытие записи в редакторе</w:t>
      </w:r>
    </w:p>
    <w:p>
      <w:pPr>
        <w:pStyle w:val="BodyText"/>
      </w:pPr>
      <w:r>
        <w:t xml:space="preserve">Клавиша</w:t>
      </w:r>
      <w:r>
        <w:t xml:space="preserve"> </w:t>
      </w:r>
      <w:r>
        <w:rPr>
          <w:rStyle w:val="VerbatimChar"/>
        </w:rPr>
        <w:t xml:space="preserve">Enter</w:t>
      </w:r>
      <w:r>
        <w:t xml:space="preserve"> </w:t>
      </w:r>
      <w:r>
        <w:t xml:space="preserve">открывает то же окно средств ввода, что и кнопка</w:t>
      </w:r>
      <w:r>
        <w:t xml:space="preserve"> </w:t>
      </w:r>
      <w:r>
        <w:rPr>
          <w:rStyle w:val="VerbatimChar"/>
        </w:rPr>
        <w:t xml:space="preserve">...</w:t>
      </w:r>
      <w:r>
        <w:t xml:space="preserve"> </w:t>
      </w:r>
      <w:r>
        <w:t xml:space="preserve">или клавиша</w:t>
      </w:r>
      <w:r>
        <w:t xml:space="preserve"> </w:t>
      </w:r>
      <w:r>
        <w:rPr>
          <w:rStyle w:val="VerbatimChar"/>
        </w:rPr>
        <w:t xml:space="preserve">F2</w:t>
      </w:r>
      <w:r>
        <w:t xml:space="preserve">, поэтому каталогизатор может работать с полем без перехода к кнопке на панели инструментов.</w:t>
      </w:r>
    </w:p>
    <w:bookmarkEnd w:id="267"/>
    <w:bookmarkStart w:id="271" w:name="быстрый-переход-к-полю"/>
    <w:p>
      <w:pPr>
        <w:pStyle w:val="Heading3"/>
      </w:pPr>
      <w:r>
        <w:t xml:space="preserve">3. Быстрый переход к полю</w:t>
      </w:r>
    </w:p>
    <w:p>
      <w:pPr>
        <w:pStyle w:val="FirstParagraph"/>
      </w:pPr>
      <w:r>
        <w:t xml:space="preserve">Если нужно быстро найти поле на вкладках рабочего листа, используйте строку</w:t>
      </w:r>
      <w:r>
        <w:t xml:space="preserve"> </w:t>
      </w:r>
      <w:r>
        <w:rPr>
          <w:rStyle w:val="VerbatimChar"/>
        </w:rPr>
        <w:t xml:space="preserve">Перейти к полю</w:t>
      </w:r>
      <w:r>
        <w:t xml:space="preserve"> </w:t>
      </w:r>
      <w:r>
        <w:t xml:space="preserve">на верхней панели редактора. Введите числовую метку поля, например</w:t>
      </w:r>
      <w:r>
        <w:t xml:space="preserve"> </w:t>
      </w:r>
      <w:r>
        <w:rPr>
          <w:rStyle w:val="VerbatimChar"/>
        </w:rPr>
        <w:t xml:space="preserve">200</w:t>
      </w:r>
      <w:r>
        <w:t xml:space="preserve"> </w:t>
      </w:r>
      <w:r>
        <w:t xml:space="preserve">или</w:t>
      </w:r>
      <w:r>
        <w:t xml:space="preserve"> </w:t>
      </w:r>
      <w:r>
        <w:rPr>
          <w:rStyle w:val="VerbatimChar"/>
        </w:rPr>
        <w:t xml:space="preserve">910</w:t>
      </w:r>
      <w:r>
        <w:t xml:space="preserve">, и нажмите</w:t>
      </w:r>
      <w:r>
        <w:t xml:space="preserve"> </w:t>
      </w:r>
      <w:r>
        <w:rPr>
          <w:rStyle w:val="VerbatimChar"/>
        </w:rPr>
        <w:t xml:space="preserve">Enter</w:t>
      </w:r>
      <w:r>
        <w:t xml:space="preserve">.</w:t>
      </w:r>
    </w:p>
    <w:p>
      <w:pPr>
        <w:pStyle w:val="BodyText"/>
      </w:pPr>
      <w:r>
        <w:t xml:space="preserve">Редактор откроет вкладку рабочего листа с найденным полем, прокрутит таблицу к нужной строке и переведет ввод в колонку</w:t>
      </w:r>
      <w:r>
        <w:t xml:space="preserve"> </w:t>
      </w:r>
      <w:r>
        <w:rPr>
          <w:rStyle w:val="VerbatimChar"/>
        </w:rPr>
        <w:t xml:space="preserve">Значение</w:t>
      </w:r>
      <w:r>
        <w:t xml:space="preserve">. Поиск выполняется по точной метке поля на вкладках текущего рабочего листа. Если такой метки на вкладках нет, редактор покажет сообщение, что поле не найдено.</w:t>
      </w:r>
    </w:p>
    <w:p>
      <w:pPr>
        <w:pStyle w:val="CaptionedFigure"/>
      </w:pPr>
      <w:r>
        <w:drawing>
          <wp:inline>
            <wp:extent cx="5334000" cy="3280371"/>
            <wp:effectExtent b="0" l="0" r="0" t="0"/>
            <wp:docPr descr="Редактирование полей в редакторе записи" title="" id="269" name="Picture"/>
            <a:graphic>
              <a:graphicData uri="http://schemas.openxmlformats.org/drawingml/2006/picture">
                <pic:pic>
                  <pic:nvPicPr>
                    <pic:cNvPr descr="modules/Cataloguer/Help/CataloguerGuide/EditRecord02.png" id="270" name="Picture"/>
                    <pic:cNvPicPr>
                      <a:picLocks noChangeArrowheads="1" noChangeAspect="1"/>
                    </pic:cNvPicPr>
                  </pic:nvPicPr>
                  <pic:blipFill>
                    <a:blip r:embed="rId268"/>
                    <a:stretch>
                      <a:fillRect/>
                    </a:stretch>
                  </pic:blipFill>
                  <pic:spPr bwMode="auto">
                    <a:xfrm>
                      <a:off x="0" y="0"/>
                      <a:ext cx="5334000" cy="3280371"/>
                    </a:xfrm>
                    <a:prstGeom prst="rect">
                      <a:avLst/>
                    </a:prstGeom>
                    <a:noFill/>
                    <a:ln w="9525">
                      <a:noFill/>
                      <a:headEnd/>
                      <a:tailEnd/>
                    </a:ln>
                  </pic:spPr>
                </pic:pic>
              </a:graphicData>
            </a:graphic>
          </wp:inline>
        </w:drawing>
      </w:r>
    </w:p>
    <w:p>
      <w:pPr>
        <w:pStyle w:val="ImageCaption"/>
      </w:pPr>
      <w:r>
        <w:t xml:space="preserve">Редактирование полей в редакторе записи</w:t>
      </w:r>
    </w:p>
    <w:bookmarkEnd w:id="271"/>
    <w:bookmarkStart w:id="272" w:name="X010b3129e0afa7bb6f29ce63abfb15273ab156c"/>
    <w:p>
      <w:pPr>
        <w:pStyle w:val="Heading3"/>
      </w:pPr>
      <w:r>
        <w:t xml:space="preserve">4. Табличное редактирование повторяющихся полей</w:t>
      </w:r>
    </w:p>
    <w:p>
      <w:pPr>
        <w:pStyle w:val="FirstParagraph"/>
      </w:pPr>
      <w:r>
        <w:t xml:space="preserve">В классическом редакторе записи повторяющееся поле можно открыть в табличном виде. Для этого выделите любое повторение поля и нажмите</w:t>
      </w:r>
      <w:r>
        <w:t xml:space="preserve"> </w:t>
      </w:r>
      <w:r>
        <w:rPr>
          <w:rStyle w:val="VerbatimChar"/>
        </w:rPr>
        <w:t xml:space="preserve">F3</w:t>
      </w:r>
      <w:r>
        <w:t xml:space="preserve">. Окно открывается для всего поля: каждое повторение отображается отдельной строкой, а подполя - столбцами таблицы.</w:t>
      </w:r>
    </w:p>
    <w:p>
      <w:pPr>
        <w:pStyle w:val="BodyText"/>
      </w:pPr>
      <w:r>
        <w:t xml:space="preserve">Состав столбцов берется из вложенного WSS, указанного в рабочем листе для этого поля. Если WSS не задан, редактор строит столбцы по заполненным подполям существующих повторений. В ячейках используются те же методы ввода, что и при обычном редактировании подполей: свободный текст, меню, словари, авторитетные базы и вложенные рабочие листы.</w:t>
      </w:r>
    </w:p>
    <w:p>
      <w:pPr>
        <w:pStyle w:val="BodyText"/>
      </w:pPr>
      <w:r>
        <w:t xml:space="preserve">Табличный режим удобен для мультиввода повторяющихся полей: несколько выбранных значений можно разнести по отдельным строкам одного поля, а затем заполнить остальные подполя без открытия каждого повторения отдельно.</w:t>
      </w:r>
    </w:p>
    <w:p>
      <w:pPr>
        <w:pStyle w:val="BodyText"/>
      </w:pPr>
      <w:r>
        <w:t xml:space="preserve">В окне табличного редактора доступны основные действия:</w:t>
      </w:r>
    </w:p>
    <w:p>
      <w:pPr>
        <w:pStyle w:val="Compact"/>
        <w:numPr>
          <w:ilvl w:val="0"/>
          <w:numId w:val="1090"/>
        </w:numPr>
      </w:pPr>
      <w:r>
        <w:rPr>
          <w:rStyle w:val="VerbatimChar"/>
        </w:rPr>
        <w:t xml:space="preserve">Новое повторение</w:t>
      </w:r>
      <w:r>
        <w:t xml:space="preserve"> </w:t>
      </w:r>
      <w:r>
        <w:t xml:space="preserve">добавляет строку после выбранной строки или в конец таблицы.</w:t>
      </w:r>
    </w:p>
    <w:p>
      <w:pPr>
        <w:pStyle w:val="Compact"/>
        <w:numPr>
          <w:ilvl w:val="0"/>
          <w:numId w:val="1090"/>
        </w:numPr>
      </w:pPr>
      <w:r>
        <w:rPr>
          <w:rStyle w:val="VerbatimChar"/>
        </w:rPr>
        <w:t xml:space="preserve">Удалить отмеченные</w:t>
      </w:r>
      <w:r>
        <w:t xml:space="preserve"> </w:t>
      </w:r>
      <w:r>
        <w:t xml:space="preserve">удаляет строки, отмеченные в первой колонке.</w:t>
      </w:r>
    </w:p>
    <w:p>
      <w:pPr>
        <w:pStyle w:val="Compact"/>
        <w:numPr>
          <w:ilvl w:val="0"/>
          <w:numId w:val="1090"/>
        </w:numPr>
      </w:pPr>
      <w:r>
        <w:t xml:space="preserve">Перетаскивание строки мышью меняет порядок повторений; после перемещения номера повторений пересчитываются автоматически.</w:t>
      </w:r>
    </w:p>
    <w:p>
      <w:pPr>
        <w:pStyle w:val="Compact"/>
        <w:numPr>
          <w:ilvl w:val="0"/>
          <w:numId w:val="1090"/>
        </w:numPr>
      </w:pPr>
      <w:r>
        <w:rPr>
          <w:rStyle w:val="VerbatimChar"/>
        </w:rPr>
        <w:t xml:space="preserve">Ok</w:t>
      </w:r>
      <w:r>
        <w:t xml:space="preserve"> </w:t>
      </w:r>
      <w:r>
        <w:t xml:space="preserve">применяет таблицу к рабочей записи редактора.</w:t>
      </w:r>
    </w:p>
    <w:p>
      <w:pPr>
        <w:pStyle w:val="Compact"/>
        <w:numPr>
          <w:ilvl w:val="0"/>
          <w:numId w:val="1090"/>
        </w:numPr>
      </w:pPr>
      <w:r>
        <w:rPr>
          <w:rStyle w:val="VerbatimChar"/>
        </w:rPr>
        <w:t xml:space="preserve">Отмена</w:t>
      </w:r>
      <w:r>
        <w:t xml:space="preserve"> </w:t>
      </w:r>
      <w:r>
        <w:t xml:space="preserve">закрывает окно без применения табличных изменений.</w:t>
      </w:r>
    </w:p>
    <w:p>
      <w:pPr>
        <w:pStyle w:val="FirstParagraph"/>
      </w:pPr>
      <w:r>
        <w:t xml:space="preserve">После применения таблицы запись ещё не записана в базу. Для окончательного сохранения нажмите</w:t>
      </w:r>
      <w:r>
        <w:t xml:space="preserve"> </w:t>
      </w:r>
      <w:r>
        <w:rPr>
          <w:rStyle w:val="VerbatimChar"/>
        </w:rPr>
        <w:t xml:space="preserve">Сохранить</w:t>
      </w:r>
      <w:r>
        <w:t xml:space="preserve"> </w:t>
      </w:r>
      <w:r>
        <w:t xml:space="preserve">или</w:t>
      </w:r>
      <w:r>
        <w:t xml:space="preserve"> </w:t>
      </w:r>
      <w:r>
        <w:rPr>
          <w:rStyle w:val="VerbatimChar"/>
        </w:rPr>
        <w:t xml:space="preserve">Сохранить и закрыть</w:t>
      </w:r>
      <w:r>
        <w:t xml:space="preserve"> </w:t>
      </w:r>
      <w:r>
        <w:t xml:space="preserve">в основном окне редактора.</w:t>
      </w:r>
    </w:p>
    <w:bookmarkEnd w:id="272"/>
    <w:bookmarkStart w:id="273" w:name="результат-2"/>
    <w:p>
      <w:pPr>
        <w:pStyle w:val="Heading3"/>
      </w:pPr>
      <w:r>
        <w:t xml:space="preserve">5. Результат</w:t>
      </w:r>
    </w:p>
    <w:p>
      <w:pPr>
        <w:pStyle w:val="FirstParagraph"/>
      </w:pPr>
      <w:r>
        <w:t xml:space="preserve">Изменения сохраняются в выбранной библиографической записи. Сообщение</w:t>
      </w:r>
      <w:r>
        <w:t xml:space="preserve"> </w:t>
      </w:r>
      <w:r>
        <w:rPr>
          <w:rStyle w:val="VerbatimChar"/>
        </w:rPr>
        <w:t xml:space="preserve">Запись сохранена</w:t>
      </w:r>
      <w:r>
        <w:t xml:space="preserve"> </w:t>
      </w:r>
      <w:r>
        <w:t xml:space="preserve">подтверждает успешное сохранение и закрывается автоматически; при необходимости его можно закрыть вручную кнопкой</w:t>
      </w:r>
      <w:r>
        <w:t xml:space="preserve"> </w:t>
      </w:r>
      <w:r>
        <w:rPr>
          <w:rStyle w:val="VerbatimChar"/>
        </w:rPr>
        <w:t xml:space="preserve">ОК</w:t>
      </w:r>
      <w:r>
        <w:t xml:space="preserve">.</w:t>
      </w:r>
    </w:p>
    <w:bookmarkEnd w:id="273"/>
    <w:bookmarkEnd w:id="274"/>
    <w:bookmarkStart w:id="285" w:name="Xeca9d9075bfb732ce54088d801ea3b03e16ab2a"/>
    <w:p>
      <w:pPr>
        <w:pStyle w:val="Heading2"/>
      </w:pPr>
      <w:r>
        <w:t xml:space="preserve">Ввод RFID-меток в активное поле Каталогизатора</w:t>
      </w:r>
    </w:p>
    <w:p>
      <w:pPr>
        <w:pStyle w:val="FirstParagraph"/>
      </w:pPr>
      <w:r>
        <w:t xml:space="preserve">АРМ</w:t>
      </w:r>
      <w:r>
        <w:t xml:space="preserve"> </w:t>
      </w:r>
      <w:r>
        <w:rPr>
          <w:rStyle w:val="VerbatimChar"/>
        </w:rPr>
        <w:t xml:space="preserve">Каталогизатор</w:t>
      </w:r>
      <w:r>
        <w:t xml:space="preserve"> </w:t>
      </w:r>
      <w:r>
        <w:t xml:space="preserve">может принимать данные RFID-считывателя через фоновую программу</w:t>
      </w:r>
      <w:r>
        <w:t xml:space="preserve"> </w:t>
      </w:r>
      <w:r>
        <w:rPr>
          <w:rStyle w:val="VerbatimChar"/>
        </w:rPr>
        <w:t xml:space="preserve">irbis_rfid</w:t>
      </w:r>
      <w:r>
        <w:t xml:space="preserve">. В основном режиме считанная метка вставляется в то поле ввода, которое сейчас активно в редакторе записи Каталогизатора. В Linux-АРМах также можно использовать режим копирования прочитанных меток в системный буфер обмена, а затем вставлять их в нужное поле вручную.</w:t>
      </w:r>
    </w:p>
    <w:p>
      <w:pPr>
        <w:pStyle w:val="CaptionedFigure"/>
      </w:pPr>
      <w:r>
        <w:drawing>
          <wp:inline>
            <wp:extent cx="5334000" cy="3516923"/>
            <wp:effectExtent b="0" l="0" r="0" t="0"/>
            <wp:docPr descr="Рисунок 1 - Редактор записи Каталогизатора с активным полем ввода" title="Редактор записи Каталогизатора с активным полем ввода" id="275" name="Picture"/>
            <a:graphic>
              <a:graphicData uri="http://schemas.openxmlformats.org/drawingml/2006/picture">
                <pic:pic>
                  <pic:nvPicPr>
                    <pic:cNvPr descr="modules/Cataloguer/Help/CataloguerGuide/EditRecordEditor.png" id="276" name="Picture"/>
                    <pic:cNvPicPr>
                      <a:picLocks noChangeArrowheads="1" noChangeAspect="1"/>
                    </pic:cNvPicPr>
                  </pic:nvPicPr>
                  <pic:blipFill>
                    <a:blip r:embed="rId264"/>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записи Каталогизатора с активным полем ввода</w:t>
      </w:r>
    </w:p>
    <w:bookmarkStart w:id="278" w:name="когда-используется"/>
    <w:p>
      <w:pPr>
        <w:pStyle w:val="Heading3"/>
      </w:pPr>
      <w:r>
        <w:t xml:space="preserve">1. Когда используется</w:t>
      </w:r>
    </w:p>
    <w:p>
      <w:pPr>
        <w:pStyle w:val="FirstParagraph"/>
      </w:pPr>
      <w:r>
        <w:t xml:space="preserve">Режим нужен на рабочих местах, где каталогизатор вводит радиометки в библиографическую запись или запись экземпляра без ручного набора. Перед чтением метки пользователь открывает нужную запись, выбирает поле или подполе и устанавливает курсор в поле ввода.</w:t>
      </w:r>
    </w:p>
    <w:p>
      <w:pPr>
        <w:pStyle w:val="BodyText"/>
      </w:pPr>
      <w:r>
        <w:rPr>
          <w:rStyle w:val="VerbatimChar"/>
        </w:rPr>
        <w:t xml:space="preserve">irbis_rfid</w:t>
      </w:r>
      <w:r>
        <w:t xml:space="preserve"> </w:t>
      </w:r>
      <w:r>
        <w:t xml:space="preserve">работает как отдельная фоновая программа рабочего места. Она должна быть запущена одновременно с клиентским АРМом и использует локальный файл настроек</w:t>
      </w:r>
      <w:r>
        <w:t xml:space="preserve"> </w:t>
      </w:r>
      <w:r>
        <w:rPr>
          <w:rStyle w:val="VerbatimChar"/>
        </w:rPr>
        <w:t xml:space="preserve">irbis_rfid.ini</w:t>
      </w:r>
      <w:r>
        <w:t xml:space="preserve">.</w:t>
      </w:r>
    </w:p>
    <w:p>
      <w:pPr>
        <w:pStyle w:val="BodyText"/>
      </w:pPr>
      <w:r>
        <w:t xml:space="preserve">В Linux-АРМе опрос RFID-сервера включается и выключается кнопкой в окне</w:t>
      </w:r>
      <w:r>
        <w:t xml:space="preserve"> </w:t>
      </w:r>
      <w:r>
        <w:rPr>
          <w:rStyle w:val="VerbatimChar"/>
        </w:rPr>
        <w:t xml:space="preserve">irbis_rfid</w:t>
      </w:r>
      <w:r>
        <w:t xml:space="preserve">. Перед чтением меток опрос должен быть включен; если чтение временно не нужно, его можно выключить, не закрывая фоновую программу и не меняя настройки рабочего места.</w:t>
      </w:r>
    </w:p>
    <w:p>
      <w:pPr>
        <w:pStyle w:val="BodyText"/>
      </w:pPr>
      <w:r>
        <w:t xml:space="preserve">Режим копирования в буфер обмена удобен, когда прямой ввод в активное окно работает нестабильно или пользователь хочет сначала проверить считанную метку. После чтения метки программа помещает значение в буфер обмена операционной системы. Пользователь сам выбирает поле в редакторе и вставляет значение обычной командой вставки.</w:t>
      </w:r>
    </w:p>
    <w:p>
      <w:pPr>
        <w:pStyle w:val="BodyText"/>
      </w:pPr>
      <w:r>
        <w:t xml:space="preserve">@@</w:t>
      </w:r>
      <w:r>
        <w:t xml:space="preserve">@info</w:t>
      </w:r>
      <w:r>
        <w:t xml:space="preserve"> </w:t>
      </w:r>
      <w:r>
        <w:t xml:space="preserve">В АРМе</w:t>
      </w:r>
      <w:r>
        <w:t xml:space="preserve"> </w:t>
      </w:r>
      <w:r>
        <w:rPr>
          <w:rStyle w:val="VerbatimChar"/>
        </w:rPr>
        <w:t xml:space="preserve">Книговыдача</w:t>
      </w:r>
      <w:r>
        <w:t xml:space="preserve"> </w:t>
      </w:r>
      <w:r>
        <w:t xml:space="preserve">этот режим не применяется. Для Книговыдачи используется встроенная</w:t>
      </w:r>
      <w:r>
        <w:t xml:space="preserve"> </w:t>
      </w:r>
      <w:hyperlink r:id="rId277">
        <w:r>
          <w:rPr>
            <w:rStyle w:val="Hyperlink"/>
          </w:rPr>
          <w:t xml:space="preserve">панель RFID</w:t>
        </w:r>
      </w:hyperlink>
      <w:r>
        <w:t xml:space="preserve">.</w:t>
      </w:r>
      <w:r>
        <w:t xml:space="preserve"> </w:t>
      </w:r>
      <w:r>
        <w:t xml:space="preserve">@@@</w:t>
      </w:r>
    </w:p>
    <w:bookmarkEnd w:id="278"/>
    <w:bookmarkStart w:id="279" w:name="подготовка-рабочего-места"/>
    <w:p>
      <w:pPr>
        <w:pStyle w:val="Heading3"/>
      </w:pPr>
      <w:r>
        <w:t xml:space="preserve">2. Подготовка рабочего места</w:t>
      </w:r>
    </w:p>
    <w:p>
      <w:pPr>
        <w:pStyle w:val="FirstParagraph"/>
      </w:pPr>
      <w:r>
        <w:t xml:space="preserve">На каждом рабочем месте, где используется RFID-ввод, должны быть установлены:</w:t>
      </w:r>
    </w:p>
    <w:p>
      <w:pPr>
        <w:pStyle w:val="Compact"/>
        <w:numPr>
          <w:ilvl w:val="0"/>
          <w:numId w:val="1091"/>
        </w:numPr>
      </w:pPr>
      <w:r>
        <w:t xml:space="preserve">RFID-считыватель;</w:t>
      </w:r>
    </w:p>
    <w:p>
      <w:pPr>
        <w:pStyle w:val="Compact"/>
        <w:numPr>
          <w:ilvl w:val="0"/>
          <w:numId w:val="1091"/>
        </w:numPr>
      </w:pPr>
      <w:r>
        <w:t xml:space="preserve">драйверы считывателя, если они требуются поставщиком оборудования;</w:t>
      </w:r>
    </w:p>
    <w:p>
      <w:pPr>
        <w:pStyle w:val="Compact"/>
        <w:numPr>
          <w:ilvl w:val="0"/>
          <w:numId w:val="1091"/>
        </w:numPr>
      </w:pPr>
      <w:r>
        <w:t xml:space="preserve">COM-объекты или локальная программа обмена, если они нужны выбранному типу оборудования.</w:t>
      </w:r>
    </w:p>
    <w:p>
      <w:pPr>
        <w:pStyle w:val="FirstParagraph"/>
      </w:pPr>
      <w:r>
        <w:t xml:space="preserve">Для оборудования</w:t>
      </w:r>
      <w:r>
        <w:t xml:space="preserve"> </w:t>
      </w:r>
      <w:r>
        <w:rPr>
          <w:rStyle w:val="VerbatimChar"/>
        </w:rPr>
        <w:t xml:space="preserve">АНТИВОР</w:t>
      </w:r>
      <w:r>
        <w:t xml:space="preserve"> </w:t>
      </w:r>
      <w:r>
        <w:t xml:space="preserve">на рабочем месте должны быть доступны</w:t>
      </w:r>
      <w:r>
        <w:t xml:space="preserve"> </w:t>
      </w:r>
      <w:r>
        <w:rPr>
          <w:rStyle w:val="VerbatimChar"/>
        </w:rPr>
        <w:t xml:space="preserve">FeCom.dll</w:t>
      </w:r>
      <w:r>
        <w:t xml:space="preserve">,</w:t>
      </w:r>
      <w:r>
        <w:t xml:space="preserve"> </w:t>
      </w:r>
      <w:r>
        <w:rPr>
          <w:rStyle w:val="VerbatimChar"/>
        </w:rPr>
        <w:t xml:space="preserve">Felsc.dll</w:t>
      </w:r>
      <w:r>
        <w:t xml:space="preserve"> </w:t>
      </w:r>
      <w:r>
        <w:t xml:space="preserve">и</w:t>
      </w:r>
      <w:r>
        <w:t xml:space="preserve"> </w:t>
      </w:r>
      <w:r>
        <w:rPr>
          <w:rStyle w:val="VerbatimChar"/>
        </w:rPr>
        <w:t xml:space="preserve">RFID_ANTIVOR_ActiveX.dll</w:t>
      </w:r>
      <w:r>
        <w:t xml:space="preserve">. COM-объект регистрируется командой:</w:t>
      </w:r>
    </w:p>
    <w:p>
      <w:pPr>
        <w:pStyle w:val="SourceCode"/>
      </w:pPr>
      <w:r>
        <w:rPr>
          <w:rStyle w:val="NormalTok"/>
        </w:rPr>
        <w:t xml:space="preserve">REGSVR32 RFID_ANTIVOR_ActiveX.dll</w:t>
      </w:r>
    </w:p>
    <w:p>
      <w:pPr>
        <w:pStyle w:val="FirstParagraph"/>
      </w:pPr>
      <w:r>
        <w:t xml:space="preserve">Для оборудования</w:t>
      </w:r>
      <w:r>
        <w:t xml:space="preserve"> </w:t>
      </w:r>
      <w:r>
        <w:rPr>
          <w:rStyle w:val="VerbatimChar"/>
        </w:rPr>
        <w:t xml:space="preserve">АЭРО СОЛЮШНЗ</w:t>
      </w:r>
      <w:r>
        <w:t xml:space="preserve"> </w:t>
      </w:r>
      <w:r>
        <w:t xml:space="preserve">нужны драйверы</w:t>
      </w:r>
      <w:r>
        <w:t xml:space="preserve"> </w:t>
      </w:r>
      <w:r>
        <w:rPr>
          <w:rStyle w:val="VerbatimChar"/>
        </w:rPr>
        <w:t xml:space="preserve">obidusb.inf</w:t>
      </w:r>
      <w:r>
        <w:t xml:space="preserve">,</w:t>
      </w:r>
      <w:r>
        <w:t xml:space="preserve"> </w:t>
      </w:r>
      <w:r>
        <w:rPr>
          <w:rStyle w:val="VerbatimChar"/>
        </w:rPr>
        <w:t xml:space="preserve">obidusb.sys</w:t>
      </w:r>
      <w:r>
        <w:t xml:space="preserve">,</w:t>
      </w:r>
      <w:r>
        <w:t xml:space="preserve"> </w:t>
      </w:r>
      <w:r>
        <w:rPr>
          <w:rStyle w:val="VerbatimChar"/>
        </w:rPr>
        <w:t xml:space="preserve">obidusb9.sys</w:t>
      </w:r>
      <w:r>
        <w:t xml:space="preserve"> </w:t>
      </w:r>
      <w:r>
        <w:t xml:space="preserve">и библиотеки</w:t>
      </w:r>
      <w:r>
        <w:t xml:space="preserve"> </w:t>
      </w:r>
      <w:r>
        <w:rPr>
          <w:rStyle w:val="VerbatimChar"/>
        </w:rPr>
        <w:t xml:space="preserve">FeIsc.dll</w:t>
      </w:r>
      <w:r>
        <w:t xml:space="preserve">,</w:t>
      </w:r>
      <w:r>
        <w:t xml:space="preserve"> </w:t>
      </w:r>
      <w:r>
        <w:rPr>
          <w:rStyle w:val="VerbatimChar"/>
        </w:rPr>
        <w:t xml:space="preserve">FEUSB.DLL</w:t>
      </w:r>
      <w:r>
        <w:t xml:space="preserve">,</w:t>
      </w:r>
      <w:r>
        <w:t xml:space="preserve"> </w:t>
      </w:r>
      <w:r>
        <w:rPr>
          <w:rStyle w:val="VerbatimChar"/>
        </w:rPr>
        <w:t xml:space="preserve">MFC42D.DLL</w:t>
      </w:r>
      <w:r>
        <w:t xml:space="preserve">,</w:t>
      </w:r>
      <w:r>
        <w:t xml:space="preserve"> </w:t>
      </w:r>
      <w:r>
        <w:rPr>
          <w:rStyle w:val="VerbatimChar"/>
        </w:rPr>
        <w:t xml:space="preserve">MSVCP60D.DLL</w:t>
      </w:r>
      <w:r>
        <w:t xml:space="preserve">,</w:t>
      </w:r>
      <w:r>
        <w:t xml:space="preserve"> </w:t>
      </w:r>
      <w:r>
        <w:rPr>
          <w:rStyle w:val="VerbatimChar"/>
        </w:rPr>
        <w:t xml:space="preserve">MSVCRTD.DLL</w:t>
      </w:r>
      <w:r>
        <w:t xml:space="preserve">,</w:t>
      </w:r>
      <w:r>
        <w:t xml:space="preserve"> </w:t>
      </w:r>
      <w:r>
        <w:rPr>
          <w:rStyle w:val="VerbatimChar"/>
        </w:rPr>
        <w:t xml:space="preserve">FEIG_usb.ocx</w:t>
      </w:r>
      <w:r>
        <w:t xml:space="preserve">. COM-объект регистрируется командой:</w:t>
      </w:r>
    </w:p>
    <w:p>
      <w:pPr>
        <w:pStyle w:val="SourceCode"/>
      </w:pPr>
      <w:r>
        <w:rPr>
          <w:rStyle w:val="NormalTok"/>
        </w:rPr>
        <w:t xml:space="preserve">REGSVR32 FEIG_usb.ocx</w:t>
      </w:r>
    </w:p>
    <w:p>
      <w:pPr>
        <w:pStyle w:val="FirstParagraph"/>
      </w:pPr>
      <w:r>
        <w:t xml:space="preserve">Если используется оборудование</w:t>
      </w:r>
      <w:r>
        <w:t xml:space="preserve"> </w:t>
      </w:r>
      <w:r>
        <w:rPr>
          <w:rStyle w:val="VerbatimChar"/>
        </w:rPr>
        <w:t xml:space="preserve">SkyeTek</w:t>
      </w:r>
      <w:r>
        <w:t xml:space="preserve"> </w:t>
      </w:r>
      <w:r>
        <w:t xml:space="preserve">от</w:t>
      </w:r>
      <w:r>
        <w:t xml:space="preserve"> </w:t>
      </w:r>
      <w:r>
        <w:rPr>
          <w:rStyle w:val="VerbatimChar"/>
        </w:rPr>
        <w:t xml:space="preserve">АЭРО СОЛЮШНЗ</w:t>
      </w:r>
      <w:r>
        <w:t xml:space="preserve">, применяйте оригинальную программу поставщика</w:t>
      </w:r>
      <w:r>
        <w:t xml:space="preserve"> </w:t>
      </w:r>
      <w:r>
        <w:rPr>
          <w:rStyle w:val="VerbatimChar"/>
        </w:rPr>
        <w:t xml:space="preserve">AeroTrayRFIDScaner.exe</w:t>
      </w:r>
      <w:r>
        <w:t xml:space="preserve">.</w:t>
      </w:r>
    </w:p>
    <w:bookmarkEnd w:id="279"/>
    <w:bookmarkStart w:id="280" w:name="настройка-irbis_rfid.ini"/>
    <w:p>
      <w:pPr>
        <w:pStyle w:val="Heading3"/>
      </w:pPr>
      <w:r>
        <w:t xml:space="preserve">3. Настройка</w:t>
      </w:r>
      <w:r>
        <w:t xml:space="preserve"> </w:t>
      </w:r>
      <w:r>
        <w:rPr>
          <w:rStyle w:val="VerbatimChar"/>
        </w:rPr>
        <w:t xml:space="preserve">irbis_rfid.ini</w:t>
      </w:r>
    </w:p>
    <w:p>
      <w:pPr>
        <w:pStyle w:val="FirstParagraph"/>
      </w:pPr>
      <w:r>
        <w:t xml:space="preserve">В локальном файле</w:t>
      </w:r>
      <w:r>
        <w:t xml:space="preserve"> </w:t>
      </w:r>
      <w:r>
        <w:rPr>
          <w:rStyle w:val="VerbatimChar"/>
        </w:rPr>
        <w:t xml:space="preserve">irbis_rfid.ini</w:t>
      </w:r>
      <w:r>
        <w:t xml:space="preserve"> </w:t>
      </w:r>
      <w:r>
        <w:t xml:space="preserve">обязательно укажите тип RFID-оборудования:</w:t>
      </w:r>
    </w:p>
    <w:p>
      <w:pPr>
        <w:pStyle w:val="SourceCode"/>
      </w:pPr>
      <w:r>
        <w:rPr>
          <w:rStyle w:val="CommentTok"/>
        </w:rPr>
        <w:t xml:space="preserve">; АНТИВОР</w:t>
      </w:r>
      <w:r>
        <w:br/>
      </w:r>
      <w:r>
        <w:rPr>
          <w:rStyle w:val="DataTypeTok"/>
        </w:rPr>
        <w:t xml:space="preserve">RFIDTYPE</w:t>
      </w:r>
      <w:r>
        <w:rPr>
          <w:rStyle w:val="OtherTok"/>
        </w:rPr>
        <w:t xml:space="preserve">=</w:t>
      </w:r>
      <w:r>
        <w:rPr>
          <w:rStyle w:val="DecValTok"/>
        </w:rPr>
        <w:t xml:space="preserve">0</w:t>
      </w:r>
      <w:r>
        <w:br/>
      </w:r>
      <w:r>
        <w:br/>
      </w:r>
      <w:r>
        <w:rPr>
          <w:rStyle w:val="CommentTok"/>
        </w:rPr>
        <w:t xml:space="preserve">; АЭРО СОЛЮШНЗ</w:t>
      </w:r>
      <w:r>
        <w:br/>
      </w:r>
      <w:r>
        <w:rPr>
          <w:rStyle w:val="DataTypeTok"/>
        </w:rPr>
        <w:t xml:space="preserve">RFIDTYPE</w:t>
      </w:r>
      <w:r>
        <w:rPr>
          <w:rStyle w:val="OtherTok"/>
        </w:rPr>
        <w:t xml:space="preserve">=</w:t>
      </w:r>
      <w:r>
        <w:rPr>
          <w:rStyle w:val="DecValTok"/>
        </w:rPr>
        <w:t xml:space="preserve">1</w:t>
      </w:r>
    </w:p>
    <w:p>
      <w:pPr>
        <w:pStyle w:val="FirstParagraph"/>
      </w:pPr>
      <w:r>
        <w:t xml:space="preserve">Для оборудования</w:t>
      </w:r>
      <w:r>
        <w:t xml:space="preserve"> </w:t>
      </w:r>
      <w:r>
        <w:rPr>
          <w:rStyle w:val="VerbatimChar"/>
        </w:rPr>
        <w:t xml:space="preserve">АНТИВОР</w:t>
      </w:r>
      <w:r>
        <w:t xml:space="preserve"> </w:t>
      </w:r>
      <w:r>
        <w:t xml:space="preserve">дополнительно задайте разделитель префикса:</w:t>
      </w:r>
    </w:p>
    <w:p>
      <w:pPr>
        <w:pStyle w:val="SourceCode"/>
      </w:pPr>
      <w:r>
        <w:rPr>
          <w:rStyle w:val="DataTypeTok"/>
        </w:rPr>
        <w:t xml:space="preserve">PREF_DELIMITER</w:t>
      </w:r>
      <w:r>
        <w:rPr>
          <w:rStyle w:val="OtherTok"/>
        </w:rPr>
        <w:t xml:space="preserve">=</w:t>
      </w:r>
      <w:r>
        <w:rPr>
          <w:rStyle w:val="StringTok"/>
        </w:rPr>
        <w:t xml:space="preserve">=</w:t>
      </w:r>
    </w:p>
    <w:p>
      <w:pPr>
        <w:pStyle w:val="FirstParagraph"/>
      </w:pPr>
      <w:r>
        <w:t xml:space="preserve">Если на Linux-рабочем месте используется режим копирования прочитанных меток в буфер обмена, включите соответствующую опцию в настройках</w:t>
      </w:r>
      <w:r>
        <w:t xml:space="preserve"> </w:t>
      </w:r>
      <w:r>
        <w:rPr>
          <w:rStyle w:val="VerbatimChar"/>
        </w:rPr>
        <w:t xml:space="preserve">irbis_rfid</w:t>
      </w:r>
      <w:r>
        <w:t xml:space="preserve">. Параметр задается локально в</w:t>
      </w:r>
      <w:r>
        <w:t xml:space="preserve"> </w:t>
      </w:r>
      <w:r>
        <w:rPr>
          <w:rStyle w:val="VerbatimChar"/>
        </w:rPr>
        <w:t xml:space="preserve">irbis_rfid.ini</w:t>
      </w:r>
      <w:r>
        <w:t xml:space="preserve"> </w:t>
      </w:r>
      <w:r>
        <w:t xml:space="preserve">согласно комплекту поставки рабочего места.</w:t>
      </w:r>
    </w:p>
    <w:p>
      <w:pPr>
        <w:pStyle w:val="BodyText"/>
      </w:pPr>
      <w:r>
        <w:t xml:space="preserve">Файл настроек находится на рабочем месте пользователя рядом с программой</w:t>
      </w:r>
      <w:r>
        <w:t xml:space="preserve"> </w:t>
      </w:r>
      <w:r>
        <w:rPr>
          <w:rStyle w:val="VerbatimChar"/>
        </w:rPr>
        <w:t xml:space="preserve">irbis_rfid</w:t>
      </w:r>
      <w:r>
        <w:t xml:space="preserve"> </w:t>
      </w:r>
      <w:r>
        <w:t xml:space="preserve">или в каталоге, из которого она читает локальные параметры. После изменения настроек перезапустите фоновую программу.</w:t>
      </w:r>
    </w:p>
    <w:bookmarkEnd w:id="280"/>
    <w:bookmarkStart w:id="281" w:name="опрос-rfid-сервера"/>
    <w:p>
      <w:pPr>
        <w:pStyle w:val="Heading3"/>
      </w:pPr>
      <w:r>
        <w:t xml:space="preserve">4. Опрос RFID-сервера</w:t>
      </w:r>
    </w:p>
    <w:p>
      <w:pPr>
        <w:pStyle w:val="FirstParagraph"/>
      </w:pPr>
      <w:r>
        <w:t xml:space="preserve">Кнопка включения и выключения опроса управляет обращениями</w:t>
      </w:r>
      <w:r>
        <w:t xml:space="preserve"> </w:t>
      </w:r>
      <w:r>
        <w:rPr>
          <w:rStyle w:val="VerbatimChar"/>
        </w:rPr>
        <w:t xml:space="preserve">irbis_rfid</w:t>
      </w:r>
      <w:r>
        <w:t xml:space="preserve"> </w:t>
      </w:r>
      <w:r>
        <w:t xml:space="preserve">к RFID-серверу рабочего места. Включенный опрос нужен на время чтения меток: программа получает данные от считывателя и передает их в активное поле Каталогизатора или в буфер обмена, в зависимости от выбранного режима работы.</w:t>
      </w:r>
    </w:p>
    <w:p>
      <w:pPr>
        <w:pStyle w:val="BodyText"/>
      </w:pPr>
      <w:r>
        <w:t xml:space="preserve">Если нужно подготовить запись, перейти к другому полю или временно прекратить чтение меток, выключите опрос той же кнопкой. Это не завершает</w:t>
      </w:r>
      <w:r>
        <w:t xml:space="preserve"> </w:t>
      </w:r>
      <w:r>
        <w:rPr>
          <w:rStyle w:val="VerbatimChar"/>
        </w:rPr>
        <w:t xml:space="preserve">irbis_rfid</w:t>
      </w:r>
      <w:r>
        <w:t xml:space="preserve"> </w:t>
      </w:r>
      <w:r>
        <w:t xml:space="preserve">и не сбрасывает</w:t>
      </w:r>
      <w:r>
        <w:t xml:space="preserve"> </w:t>
      </w:r>
      <w:r>
        <w:rPr>
          <w:rStyle w:val="VerbatimChar"/>
        </w:rPr>
        <w:t xml:space="preserve">irbis_rfid.ini</w:t>
      </w:r>
      <w:r>
        <w:t xml:space="preserve">; перед следующим чтением опрос можно включить снова.</w:t>
      </w:r>
    </w:p>
    <w:p>
      <w:pPr>
        <w:pStyle w:val="BodyText"/>
      </w:pPr>
      <w:r>
        <w:t xml:space="preserve">Если после включения опроса метки не появляются, проверьте, что RFID-сервер и считыватель запущены на рабочем месте и доступны для</w:t>
      </w:r>
      <w:r>
        <w:t xml:space="preserve"> </w:t>
      </w:r>
      <w:r>
        <w:rPr>
          <w:rStyle w:val="VerbatimChar"/>
        </w:rPr>
        <w:t xml:space="preserve">irbis_rfid</w:t>
      </w:r>
      <w:r>
        <w:t xml:space="preserve">.</w:t>
      </w:r>
    </w:p>
    <w:bookmarkEnd w:id="281"/>
    <w:bookmarkStart w:id="282" w:name="порядок-ввода"/>
    <w:p>
      <w:pPr>
        <w:pStyle w:val="Heading3"/>
      </w:pPr>
      <w:r>
        <w:t xml:space="preserve">5. Порядок ввода</w:t>
      </w:r>
    </w:p>
    <w:p>
      <w:pPr>
        <w:pStyle w:val="Compact"/>
        <w:numPr>
          <w:ilvl w:val="0"/>
          <w:numId w:val="1092"/>
        </w:numPr>
      </w:pPr>
      <w:r>
        <w:t xml:space="preserve">Подключите RFID-считыватель и запустите</w:t>
      </w:r>
      <w:r>
        <w:t xml:space="preserve"> </w:t>
      </w:r>
      <w:r>
        <w:rPr>
          <w:rStyle w:val="VerbatimChar"/>
        </w:rPr>
        <w:t xml:space="preserve">irbis_rfid</w:t>
      </w:r>
      <w:r>
        <w:t xml:space="preserve">.</w:t>
      </w:r>
    </w:p>
    <w:p>
      <w:pPr>
        <w:pStyle w:val="Compact"/>
        <w:numPr>
          <w:ilvl w:val="0"/>
          <w:numId w:val="1092"/>
        </w:numPr>
      </w:pPr>
      <w:r>
        <w:t xml:space="preserve">Откройте АРМ</w:t>
      </w:r>
      <w:r>
        <w:t xml:space="preserve"> </w:t>
      </w:r>
      <w:r>
        <w:rPr>
          <w:rStyle w:val="VerbatimChar"/>
        </w:rPr>
        <w:t xml:space="preserve">Каталогизатор</w:t>
      </w:r>
      <w:r>
        <w:t xml:space="preserve">.</w:t>
      </w:r>
    </w:p>
    <w:p>
      <w:pPr>
        <w:pStyle w:val="Compact"/>
        <w:numPr>
          <w:ilvl w:val="0"/>
          <w:numId w:val="1092"/>
        </w:numPr>
      </w:pPr>
      <w:r>
        <w:t xml:space="preserve">Найдите или создайте запись и откройте её в редакторе.</w:t>
      </w:r>
    </w:p>
    <w:p>
      <w:pPr>
        <w:pStyle w:val="Compact"/>
        <w:numPr>
          <w:ilvl w:val="0"/>
          <w:numId w:val="1092"/>
        </w:numPr>
      </w:pPr>
      <w:r>
        <w:t xml:space="preserve">Выберите поле или подполе, куда нужно поместить RFID-метку.</w:t>
      </w:r>
    </w:p>
    <w:p>
      <w:pPr>
        <w:pStyle w:val="Compact"/>
        <w:numPr>
          <w:ilvl w:val="0"/>
          <w:numId w:val="1092"/>
        </w:numPr>
      </w:pPr>
      <w:r>
        <w:t xml:space="preserve">Установите курсор в поле ввода.</w:t>
      </w:r>
    </w:p>
    <w:p>
      <w:pPr>
        <w:pStyle w:val="Compact"/>
        <w:numPr>
          <w:ilvl w:val="0"/>
          <w:numId w:val="1092"/>
        </w:numPr>
      </w:pPr>
      <w:r>
        <w:t xml:space="preserve">Включите опрос RFID-сервера в окне</w:t>
      </w:r>
      <w:r>
        <w:t xml:space="preserve"> </w:t>
      </w:r>
      <w:r>
        <w:rPr>
          <w:rStyle w:val="VerbatimChar"/>
        </w:rPr>
        <w:t xml:space="preserve">irbis_rfid</w:t>
      </w:r>
      <w:r>
        <w:t xml:space="preserve">.</w:t>
      </w:r>
    </w:p>
    <w:p>
      <w:pPr>
        <w:pStyle w:val="Compact"/>
        <w:numPr>
          <w:ilvl w:val="0"/>
          <w:numId w:val="1092"/>
        </w:numPr>
      </w:pPr>
      <w:r>
        <w:t xml:space="preserve">Считайте метку на оборудовании.</w:t>
      </w:r>
    </w:p>
    <w:p>
      <w:pPr>
        <w:pStyle w:val="Compact"/>
        <w:numPr>
          <w:ilvl w:val="0"/>
          <w:numId w:val="1092"/>
        </w:numPr>
      </w:pPr>
      <w:r>
        <w:t xml:space="preserve">При необходимости выключите опрос RFID-сервера.</w:t>
      </w:r>
    </w:p>
    <w:p>
      <w:pPr>
        <w:pStyle w:val="Compact"/>
        <w:numPr>
          <w:ilvl w:val="0"/>
          <w:numId w:val="1092"/>
        </w:numPr>
      </w:pPr>
      <w:r>
        <w:t xml:space="preserve">Проверьте вставленное значение и сохраните запись.</w:t>
      </w:r>
    </w:p>
    <w:p>
      <w:pPr>
        <w:pStyle w:val="FirstParagraph"/>
      </w:pPr>
      <w:r>
        <w:t xml:space="preserve">В обычном режиме фоновая программа не отправляет данные в произвольное активное окно операционной системы. В Каталогизаторе она передает считанные данные в активное поле ввода самого АРМа.</w:t>
      </w:r>
    </w:p>
    <w:bookmarkEnd w:id="282"/>
    <w:bookmarkStart w:id="283" w:name="ввод-через-буфер-обмена"/>
    <w:p>
      <w:pPr>
        <w:pStyle w:val="Heading3"/>
      </w:pPr>
      <w:r>
        <w:t xml:space="preserve">6. Ввод через буфер обмена</w:t>
      </w:r>
    </w:p>
    <w:p>
      <w:pPr>
        <w:pStyle w:val="FirstParagraph"/>
      </w:pPr>
      <w:r>
        <w:t xml:space="preserve">Если включено копирование прочитанных меток в буфер обмена:</w:t>
      </w:r>
    </w:p>
    <w:p>
      <w:pPr>
        <w:pStyle w:val="Compact"/>
        <w:numPr>
          <w:ilvl w:val="0"/>
          <w:numId w:val="1093"/>
        </w:numPr>
      </w:pPr>
      <w:r>
        <w:t xml:space="preserve">Запустите</w:t>
      </w:r>
      <w:r>
        <w:t xml:space="preserve"> </w:t>
      </w:r>
      <w:r>
        <w:rPr>
          <w:rStyle w:val="VerbatimChar"/>
        </w:rPr>
        <w:t xml:space="preserve">irbis_rfid</w:t>
      </w:r>
      <w:r>
        <w:t xml:space="preserve">, включите опрос RFID-сервера и убедитесь, что режим копирования в буфер обмена включен.</w:t>
      </w:r>
    </w:p>
    <w:p>
      <w:pPr>
        <w:pStyle w:val="Compact"/>
        <w:numPr>
          <w:ilvl w:val="0"/>
          <w:numId w:val="1093"/>
        </w:numPr>
      </w:pPr>
      <w:r>
        <w:t xml:space="preserve">Откройте запись в редакторе Каталогизатора.</w:t>
      </w:r>
    </w:p>
    <w:p>
      <w:pPr>
        <w:pStyle w:val="Compact"/>
        <w:numPr>
          <w:ilvl w:val="0"/>
          <w:numId w:val="1093"/>
        </w:numPr>
      </w:pPr>
      <w:r>
        <w:t xml:space="preserve">Считайте RFID-метку.</w:t>
      </w:r>
    </w:p>
    <w:p>
      <w:pPr>
        <w:pStyle w:val="Compact"/>
        <w:numPr>
          <w:ilvl w:val="0"/>
          <w:numId w:val="1093"/>
        </w:numPr>
      </w:pPr>
      <w:r>
        <w:t xml:space="preserve">Перейдите в поле или подполе, куда нужно вставить значение.</w:t>
      </w:r>
    </w:p>
    <w:p>
      <w:pPr>
        <w:pStyle w:val="Compact"/>
        <w:numPr>
          <w:ilvl w:val="0"/>
          <w:numId w:val="1093"/>
        </w:numPr>
      </w:pPr>
      <w:r>
        <w:t xml:space="preserve">Вставьте метку из буфера обмена, например сочетанием клавиш</w:t>
      </w:r>
      <w:r>
        <w:t xml:space="preserve"> </w:t>
      </w:r>
      <w:r>
        <w:rPr>
          <w:rStyle w:val="VerbatimChar"/>
        </w:rPr>
        <w:t xml:space="preserve">Ctrl+V</w:t>
      </w:r>
      <w:r>
        <w:t xml:space="preserve">.</w:t>
      </w:r>
    </w:p>
    <w:p>
      <w:pPr>
        <w:pStyle w:val="Compact"/>
        <w:numPr>
          <w:ilvl w:val="0"/>
          <w:numId w:val="1093"/>
        </w:numPr>
      </w:pPr>
      <w:r>
        <w:t xml:space="preserve">Проверьте значение перед сохранением записи.</w:t>
      </w:r>
    </w:p>
    <w:p>
      <w:pPr>
        <w:pStyle w:val="FirstParagraph"/>
      </w:pPr>
      <w:r>
        <w:t xml:space="preserve">Если было прочитано несколько меток, проверьте результат вставки до сохранения. Порядок и разделители нескольких значений зависят от настроек</w:t>
      </w:r>
      <w:r>
        <w:t xml:space="preserve"> </w:t>
      </w:r>
      <w:r>
        <w:rPr>
          <w:rStyle w:val="VerbatimChar"/>
        </w:rPr>
        <w:t xml:space="preserve">irbis_rfid</w:t>
      </w:r>
      <w:r>
        <w:t xml:space="preserve"> </w:t>
      </w:r>
      <w:r>
        <w:t xml:space="preserve">и оборудования.</w:t>
      </w:r>
    </w:p>
    <w:bookmarkEnd w:id="283"/>
    <w:bookmarkStart w:id="284" w:name="проверка-и-типовые-ошибки"/>
    <w:p>
      <w:pPr>
        <w:pStyle w:val="Heading3"/>
      </w:pPr>
      <w:r>
        <w:t xml:space="preserve">7. Проверка и типовые ошибки</w:t>
      </w:r>
    </w:p>
    <w:p>
      <w:pPr>
        <w:pStyle w:val="FirstParagraph"/>
      </w:pPr>
      <w:r>
        <w:t xml:space="preserve">Если метка не вставляется:</w:t>
      </w:r>
    </w:p>
    <w:p>
      <w:pPr>
        <w:pStyle w:val="Compact"/>
        <w:numPr>
          <w:ilvl w:val="0"/>
          <w:numId w:val="1094"/>
        </w:numPr>
      </w:pPr>
      <w:r>
        <w:t xml:space="preserve">проверьте, что</w:t>
      </w:r>
      <w:r>
        <w:t xml:space="preserve"> </w:t>
      </w:r>
      <w:r>
        <w:rPr>
          <w:rStyle w:val="VerbatimChar"/>
        </w:rPr>
        <w:t xml:space="preserve">irbis_rfid</w:t>
      </w:r>
      <w:r>
        <w:t xml:space="preserve"> </w:t>
      </w:r>
      <w:r>
        <w:t xml:space="preserve">запущена на том же рабочем месте, где открыт клиентский АРМ;</w:t>
      </w:r>
    </w:p>
    <w:p>
      <w:pPr>
        <w:pStyle w:val="Compact"/>
        <w:numPr>
          <w:ilvl w:val="0"/>
          <w:numId w:val="1094"/>
        </w:numPr>
      </w:pPr>
      <w:r>
        <w:t xml:space="preserve">убедитесь, что опрос RFID-сервера включен в окне</w:t>
      </w:r>
      <w:r>
        <w:t xml:space="preserve"> </w:t>
      </w:r>
      <w:r>
        <w:rPr>
          <w:rStyle w:val="VerbatimChar"/>
        </w:rPr>
        <w:t xml:space="preserve">irbis_rfid</w:t>
      </w:r>
      <w:r>
        <w:t xml:space="preserve">;</w:t>
      </w:r>
    </w:p>
    <w:p>
      <w:pPr>
        <w:pStyle w:val="Compact"/>
        <w:numPr>
          <w:ilvl w:val="0"/>
          <w:numId w:val="1094"/>
        </w:numPr>
      </w:pPr>
      <w:r>
        <w:t xml:space="preserve">убедитесь, что курсор стоит в нужном поле ввода Каталогизатора;</w:t>
      </w:r>
    </w:p>
    <w:p>
      <w:pPr>
        <w:pStyle w:val="Compact"/>
        <w:numPr>
          <w:ilvl w:val="0"/>
          <w:numId w:val="1094"/>
        </w:numPr>
      </w:pPr>
      <w:r>
        <w:t xml:space="preserve">проверьте значение</w:t>
      </w:r>
      <w:r>
        <w:t xml:space="preserve"> </w:t>
      </w:r>
      <w:r>
        <w:rPr>
          <w:rStyle w:val="VerbatimChar"/>
        </w:rPr>
        <w:t xml:space="preserve">RFIDTYPE</w:t>
      </w:r>
      <w:r>
        <w:t xml:space="preserve"> </w:t>
      </w:r>
      <w:r>
        <w:t xml:space="preserve">в</w:t>
      </w:r>
      <w:r>
        <w:t xml:space="preserve"> </w:t>
      </w:r>
      <w:r>
        <w:rPr>
          <w:rStyle w:val="VerbatimChar"/>
        </w:rPr>
        <w:t xml:space="preserve">irbis_rfid.ini</w:t>
      </w:r>
      <w:r>
        <w:t xml:space="preserve">;</w:t>
      </w:r>
    </w:p>
    <w:p>
      <w:pPr>
        <w:pStyle w:val="Compact"/>
        <w:numPr>
          <w:ilvl w:val="0"/>
          <w:numId w:val="1094"/>
        </w:numPr>
      </w:pPr>
      <w:r>
        <w:t xml:space="preserve">проверьте регистрацию COM-объекта или запуск программы обмена поставщика;</w:t>
      </w:r>
    </w:p>
    <w:p>
      <w:pPr>
        <w:pStyle w:val="Compact"/>
        <w:numPr>
          <w:ilvl w:val="0"/>
          <w:numId w:val="1094"/>
        </w:numPr>
      </w:pPr>
      <w:r>
        <w:t xml:space="preserve">перечитайте одну метку в тестовой программе поставщика оборудования;</w:t>
      </w:r>
    </w:p>
    <w:p>
      <w:pPr>
        <w:pStyle w:val="Compact"/>
        <w:numPr>
          <w:ilvl w:val="0"/>
          <w:numId w:val="1094"/>
        </w:numPr>
      </w:pPr>
      <w:r>
        <w:t xml:space="preserve">после изменения</w:t>
      </w:r>
      <w:r>
        <w:t xml:space="preserve"> </w:t>
      </w:r>
      <w:r>
        <w:rPr>
          <w:rStyle w:val="VerbatimChar"/>
        </w:rPr>
        <w:t xml:space="preserve">irbis_rfid.ini</w:t>
      </w:r>
      <w:r>
        <w:t xml:space="preserve"> </w:t>
      </w:r>
      <w:r>
        <w:t xml:space="preserve">перезапустите фоновую программу.</w:t>
      </w:r>
    </w:p>
    <w:p>
      <w:pPr>
        <w:pStyle w:val="FirstParagraph"/>
      </w:pPr>
      <w:r>
        <w:t xml:space="preserve">Если метка вставилась не туда, верните фокус в нужное поле ввода и повторите чтение. Перед сохранением записи проверьте, что значение находится в нужном поле или подполе.</w:t>
      </w:r>
    </w:p>
    <w:p>
      <w:pPr>
        <w:pStyle w:val="BodyText"/>
      </w:pPr>
      <w:r>
        <w:t xml:space="preserve">Если режим буфера обмена включен, но вставить значение не удается:</w:t>
      </w:r>
    </w:p>
    <w:p>
      <w:pPr>
        <w:pStyle w:val="Compact"/>
        <w:numPr>
          <w:ilvl w:val="0"/>
          <w:numId w:val="1095"/>
        </w:numPr>
      </w:pPr>
      <w:r>
        <w:t xml:space="preserve">проверьте, что после чтения метки буфер обмена не был перезаписан другой программой;</w:t>
      </w:r>
    </w:p>
    <w:p>
      <w:pPr>
        <w:pStyle w:val="Compact"/>
        <w:numPr>
          <w:ilvl w:val="0"/>
          <w:numId w:val="1095"/>
        </w:numPr>
      </w:pPr>
      <w:r>
        <w:t xml:space="preserve">убедитесь, что выбранное поле редактора допускает обычную вставку текста;</w:t>
      </w:r>
    </w:p>
    <w:p>
      <w:pPr>
        <w:pStyle w:val="Compact"/>
        <w:numPr>
          <w:ilvl w:val="0"/>
          <w:numId w:val="1095"/>
        </w:numPr>
      </w:pPr>
      <w:r>
        <w:t xml:space="preserve">повторно считайте одну метку и вставьте ее сразу после чтения;</w:t>
      </w:r>
    </w:p>
    <w:p>
      <w:pPr>
        <w:pStyle w:val="Compact"/>
        <w:numPr>
          <w:ilvl w:val="0"/>
          <w:numId w:val="1095"/>
        </w:numPr>
      </w:pPr>
      <w:r>
        <w:t xml:space="preserve">если используется неподдерживаемое графическое окружение Linux, проверьте требования клиентского рабочего места и используйте поддерживаемый режим запуска.</w:t>
      </w:r>
    </w:p>
    <w:bookmarkEnd w:id="284"/>
    <w:bookmarkEnd w:id="285"/>
    <w:bookmarkStart w:id="291" w:name="сравнение-предыдущих-копий-записи"/>
    <w:p>
      <w:pPr>
        <w:pStyle w:val="Heading2"/>
      </w:pPr>
      <w:r>
        <w:t xml:space="preserve">Сравнение предыдущих копий записи</w:t>
      </w:r>
    </w:p>
    <w:bookmarkStart w:id="286" w:name="назначение-1"/>
    <w:p>
      <w:pPr>
        <w:pStyle w:val="Heading3"/>
      </w:pPr>
      <w:r>
        <w:t xml:space="preserve">1. Назначение</w:t>
      </w:r>
    </w:p>
    <w:p>
      <w:pPr>
        <w:pStyle w:val="FirstParagraph"/>
      </w:pPr>
      <w:r>
        <w:t xml:space="preserve">Окно сравнения предыдущих копий помогает проверить, как менялась выбранная запись, найти добавленные, измененные и удаленные поля, а при необходимости восстановить одну из прежних версий или открыть ее в редакторе.</w:t>
      </w:r>
    </w:p>
    <w:p>
      <w:pPr>
        <w:pStyle w:val="BodyText"/>
      </w:pPr>
      <w:r>
        <w:t xml:space="preserve">Команда доступна для записей, у которых есть предыдущие копии. В профиле АРМа</w:t>
      </w:r>
      <w:r>
        <w:t xml:space="preserve"> </w:t>
      </w:r>
      <w:r>
        <w:rPr>
          <w:rStyle w:val="VerbatimChar"/>
        </w:rPr>
        <w:t xml:space="preserve">Каталогизатор</w:t>
      </w:r>
      <w:r>
        <w:t xml:space="preserve"> </w:t>
      </w:r>
      <w:r>
        <w:t xml:space="preserve">должно быть разрешено управление предыдущими копиями записей, а у пользователя должны быть права на корректировку выбранной записи.</w:t>
      </w:r>
    </w:p>
    <w:bookmarkEnd w:id="286"/>
    <w:bookmarkStart w:id="287" w:name="открытие-окна"/>
    <w:p>
      <w:pPr>
        <w:pStyle w:val="Heading3"/>
      </w:pPr>
      <w:r>
        <w:t xml:space="preserve">2. Открытие окна</w:t>
      </w:r>
    </w:p>
    <w:p>
      <w:pPr>
        <w:pStyle w:val="Compact"/>
        <w:numPr>
          <w:ilvl w:val="0"/>
          <w:numId w:val="1096"/>
        </w:numPr>
      </w:pPr>
      <w:r>
        <w:t xml:space="preserve">В области поиска найдите запись.</w:t>
      </w:r>
    </w:p>
    <w:p>
      <w:pPr>
        <w:pStyle w:val="Compact"/>
        <w:numPr>
          <w:ilvl w:val="0"/>
          <w:numId w:val="1096"/>
        </w:numPr>
      </w:pPr>
      <w:r>
        <w:t xml:space="preserve">В области</w:t>
      </w:r>
      <w:r>
        <w:t xml:space="preserve"> </w:t>
      </w:r>
      <w:r>
        <w:rPr>
          <w:rStyle w:val="VerbatimChar"/>
        </w:rPr>
        <w:t xml:space="preserve">Результаты поиска</w:t>
      </w:r>
      <w:r>
        <w:t xml:space="preserve"> </w:t>
      </w:r>
      <w:r>
        <w:t xml:space="preserve">выделите запись, у которой есть предыдущие версии.</w:t>
      </w:r>
    </w:p>
    <w:p>
      <w:pPr>
        <w:pStyle w:val="Compact"/>
        <w:numPr>
          <w:ilvl w:val="0"/>
          <w:numId w:val="1096"/>
        </w:numPr>
      </w:pPr>
      <w:r>
        <w:t xml:space="preserve">Нажмите кнопку</w:t>
      </w:r>
      <w:r>
        <w:t xml:space="preserve"> </w:t>
      </w:r>
      <w:r>
        <w:rPr>
          <w:rStyle w:val="VerbatimChar"/>
        </w:rPr>
        <w:t xml:space="preserve">Предыдущие копии записей</w:t>
      </w:r>
      <w:r>
        <w:t xml:space="preserve">.</w:t>
      </w:r>
    </w:p>
    <w:p>
      <w:pPr>
        <w:pStyle w:val="FirstParagraph"/>
      </w:pPr>
      <w:r>
        <w:t xml:space="preserve">Откроется окно сравнения версий записи с указанным</w:t>
      </w:r>
      <w:r>
        <w:t xml:space="preserve"> </w:t>
      </w:r>
      <w:r>
        <w:rPr>
          <w:rStyle w:val="VerbatimChar"/>
        </w:rPr>
        <w:t xml:space="preserve">MFN</w:t>
      </w:r>
      <w:r>
        <w:t xml:space="preserve"> </w:t>
      </w:r>
      <w:r>
        <w:t xml:space="preserve">из выбранной базы данных. В нем показывается сравнение выбранной предыдущей копии с актуальной записью или с соседней версией.</w:t>
      </w:r>
    </w:p>
    <w:p>
      <w:pPr>
        <w:pStyle w:val="BodyText"/>
      </w:pPr>
      <w:r>
        <w:t xml:space="preserve">Если запись не имеет предыдущих копий, кнопка не отображается для выбранной строки.</w:t>
      </w:r>
    </w:p>
    <w:bookmarkEnd w:id="287"/>
    <w:bookmarkStart w:id="288" w:name="навигация-по-копиям"/>
    <w:p>
      <w:pPr>
        <w:pStyle w:val="Heading3"/>
      </w:pPr>
      <w:r>
        <w:t xml:space="preserve">3. Навигация по копиям</w:t>
      </w:r>
    </w:p>
    <w:p>
      <w:pPr>
        <w:pStyle w:val="FirstParagraph"/>
      </w:pPr>
      <w:r>
        <w:t xml:space="preserve">В верхней панели окна находятся кнопки перехода к первой, предыдущей, следующей и последней копии, а также поле номера.</w:t>
      </w:r>
    </w:p>
    <w:p>
      <w:pPr>
        <w:pStyle w:val="BodyText"/>
      </w:pPr>
      <w:r>
        <w:t xml:space="preserve">Переключатель может работать в двух режимах:</w:t>
      </w:r>
    </w:p>
    <w:p>
      <w:pPr>
        <w:pStyle w:val="Compact"/>
        <w:numPr>
          <w:ilvl w:val="0"/>
          <w:numId w:val="1097"/>
        </w:numPr>
      </w:pPr>
      <w:r>
        <w:rPr>
          <w:rStyle w:val="VerbatimChar"/>
        </w:rPr>
        <w:t xml:space="preserve">переход по версиям</w:t>
      </w:r>
      <w:r>
        <w:t xml:space="preserve"> </w:t>
      </w:r>
      <w:r>
        <w:t xml:space="preserve">- в поле отображается номер версии записи;</w:t>
      </w:r>
    </w:p>
    <w:p>
      <w:pPr>
        <w:pStyle w:val="Compact"/>
        <w:numPr>
          <w:ilvl w:val="0"/>
          <w:numId w:val="1097"/>
        </w:numPr>
      </w:pPr>
      <w:r>
        <w:rPr>
          <w:rStyle w:val="VerbatimChar"/>
        </w:rPr>
        <w:t xml:space="preserve">переход по шагам</w:t>
      </w:r>
      <w:r>
        <w:t xml:space="preserve"> </w:t>
      </w:r>
      <w:r>
        <w:t xml:space="preserve">- в поле отображается количество шагов назад от актуальной версии.</w:t>
      </w:r>
    </w:p>
    <w:p>
      <w:pPr>
        <w:pStyle w:val="FirstParagraph"/>
      </w:pPr>
      <w:r>
        <w:t xml:space="preserve">Номер можно ввести вручную и подтвердить клавишей</w:t>
      </w:r>
      <w:r>
        <w:t xml:space="preserve"> </w:t>
      </w:r>
      <w:r>
        <w:rPr>
          <w:rStyle w:val="VerbatimChar"/>
        </w:rPr>
        <w:t xml:space="preserve">Enter</w:t>
      </w:r>
      <w:r>
        <w:t xml:space="preserve">. Если введено значение вне диапазона, окно возвращает ближайшую доступную копию.</w:t>
      </w:r>
    </w:p>
    <w:bookmarkEnd w:id="288"/>
    <w:bookmarkStart w:id="289" w:name="режимы-сравнения"/>
    <w:p>
      <w:pPr>
        <w:pStyle w:val="Heading3"/>
      </w:pPr>
      <w:r>
        <w:t xml:space="preserve">4. Режимы сравнения</w:t>
      </w:r>
    </w:p>
    <w:p>
      <w:pPr>
        <w:pStyle w:val="FirstParagraph"/>
      </w:pPr>
      <w:r>
        <w:t xml:space="preserve">Меню</w:t>
      </w:r>
      <w:r>
        <w:t xml:space="preserve"> </w:t>
      </w:r>
      <w:r>
        <w:rPr>
          <w:rStyle w:val="VerbatimChar"/>
        </w:rPr>
        <w:t xml:space="preserve">Настройки</w:t>
      </w:r>
      <w:r>
        <w:t xml:space="preserve"> </w:t>
      </w:r>
      <w:r>
        <w:t xml:space="preserve">управляет тем, с чем и насколько подробно сравнивается выбранная копия.</w:t>
      </w:r>
    </w:p>
    <w:p>
      <w:pPr>
        <w:pStyle w:val="BodyText"/>
      </w:pPr>
      <w:r>
        <w:t xml:space="preserve">В группе</w:t>
      </w:r>
      <w:r>
        <w:t xml:space="preserve"> </w:t>
      </w:r>
      <w:r>
        <w:rPr>
          <w:rStyle w:val="VerbatimChar"/>
        </w:rPr>
        <w:t xml:space="preserve">Сравнивать с...</w:t>
      </w:r>
      <w:r>
        <w:t xml:space="preserve"> </w:t>
      </w:r>
      <w:r>
        <w:t xml:space="preserve">доступны варианты:</w:t>
      </w:r>
    </w:p>
    <w:p>
      <w:pPr>
        <w:pStyle w:val="Compact"/>
        <w:numPr>
          <w:ilvl w:val="0"/>
          <w:numId w:val="1098"/>
        </w:numPr>
      </w:pPr>
      <w:r>
        <w:rPr>
          <w:rStyle w:val="VerbatimChar"/>
        </w:rPr>
        <w:t xml:space="preserve">...актуальной версией</w:t>
      </w:r>
      <w:r>
        <w:t xml:space="preserve"> </w:t>
      </w:r>
      <w:r>
        <w:t xml:space="preserve">- выбранная копия сравнивается с текущей записью;</w:t>
      </w:r>
    </w:p>
    <w:p>
      <w:pPr>
        <w:pStyle w:val="Compact"/>
        <w:numPr>
          <w:ilvl w:val="0"/>
          <w:numId w:val="1098"/>
        </w:numPr>
      </w:pPr>
      <w:r>
        <w:rPr>
          <w:rStyle w:val="VerbatimChar"/>
        </w:rPr>
        <w:t xml:space="preserve">...следующей версией</w:t>
      </w:r>
      <w:r>
        <w:t xml:space="preserve"> </w:t>
      </w:r>
      <w:r>
        <w:t xml:space="preserve">- выбранная копия сравнивается с ближайшей более новой копией.</w:t>
      </w:r>
    </w:p>
    <w:p>
      <w:pPr>
        <w:pStyle w:val="FirstParagraph"/>
      </w:pPr>
      <w:r>
        <w:t xml:space="preserve">В группе</w:t>
      </w:r>
      <w:r>
        <w:t xml:space="preserve"> </w:t>
      </w:r>
      <w:r>
        <w:rPr>
          <w:rStyle w:val="VerbatimChar"/>
        </w:rPr>
        <w:t xml:space="preserve">Детализация</w:t>
      </w:r>
      <w:r>
        <w:t xml:space="preserve"> </w:t>
      </w:r>
      <w:r>
        <w:t xml:space="preserve">доступны варианты:</w:t>
      </w:r>
    </w:p>
    <w:p>
      <w:pPr>
        <w:pStyle w:val="Compact"/>
        <w:numPr>
          <w:ilvl w:val="0"/>
          <w:numId w:val="1099"/>
        </w:numPr>
      </w:pPr>
      <w:r>
        <w:rPr>
          <w:rStyle w:val="VerbatimChar"/>
        </w:rPr>
        <w:t xml:space="preserve">по строкам</w:t>
      </w:r>
      <w:r>
        <w:t xml:space="preserve"> </w:t>
      </w:r>
      <w:r>
        <w:t xml:space="preserve">- показывает изменения целыми строками;</w:t>
      </w:r>
    </w:p>
    <w:p>
      <w:pPr>
        <w:pStyle w:val="Compact"/>
        <w:numPr>
          <w:ilvl w:val="0"/>
          <w:numId w:val="1099"/>
        </w:numPr>
      </w:pPr>
      <w:r>
        <w:rPr>
          <w:rStyle w:val="VerbatimChar"/>
        </w:rPr>
        <w:t xml:space="preserve">по словам</w:t>
      </w:r>
      <w:r>
        <w:t xml:space="preserve"> </w:t>
      </w:r>
      <w:r>
        <w:t xml:space="preserve">- выделяет изменения внутри строки по словам;</w:t>
      </w:r>
    </w:p>
    <w:p>
      <w:pPr>
        <w:pStyle w:val="Compact"/>
        <w:numPr>
          <w:ilvl w:val="0"/>
          <w:numId w:val="1099"/>
        </w:numPr>
      </w:pPr>
      <w:r>
        <w:rPr>
          <w:rStyle w:val="VerbatimChar"/>
        </w:rPr>
        <w:t xml:space="preserve">по символам</w:t>
      </w:r>
      <w:r>
        <w:t xml:space="preserve"> </w:t>
      </w:r>
      <w:r>
        <w:t xml:space="preserve">- выделяет минимальные отличия по символам.</w:t>
      </w:r>
    </w:p>
    <w:p>
      <w:pPr>
        <w:pStyle w:val="FirstParagraph"/>
      </w:pPr>
      <w:r>
        <w:t xml:space="preserve">Сравнение выводится в двух колонках. Слева показана старая версия, справа - версия, с которой она сравнивается. Если отличий нет, окно сообщает, что записи идентичны.</w:t>
      </w:r>
    </w:p>
    <w:bookmarkEnd w:id="289"/>
    <w:bookmarkStart w:id="290" w:name="действия-с-выбранной-копией"/>
    <w:p>
      <w:pPr>
        <w:pStyle w:val="Heading3"/>
      </w:pPr>
      <w:r>
        <w:t xml:space="preserve">5. Действия с выбранной копией</w:t>
      </w:r>
    </w:p>
    <w:p>
      <w:pPr>
        <w:pStyle w:val="FirstParagraph"/>
      </w:pPr>
      <w:r>
        <w:t xml:space="preserve">Кнопка</w:t>
      </w:r>
      <w:r>
        <w:t xml:space="preserve"> </w:t>
      </w:r>
      <w:r>
        <w:rPr>
          <w:rStyle w:val="VerbatimChar"/>
        </w:rPr>
        <w:t xml:space="preserve">Восстановить</w:t>
      </w:r>
      <w:r>
        <w:t xml:space="preserve"> </w:t>
      </w:r>
      <w:r>
        <w:t xml:space="preserve">сохраняет выбранную предыдущую копию в качестве текущей записи. Перед восстановлением убедитесь, что выбрана нужная версия: действие заменяет актуальное содержимое записи содержимым выбранной копии.</w:t>
      </w:r>
    </w:p>
    <w:p>
      <w:pPr>
        <w:pStyle w:val="BodyText"/>
      </w:pPr>
      <w:r>
        <w:t xml:space="preserve">Кнопка</w:t>
      </w:r>
      <w:r>
        <w:t xml:space="preserve"> </w:t>
      </w:r>
      <w:r>
        <w:rPr>
          <w:rStyle w:val="VerbatimChar"/>
        </w:rPr>
        <w:t xml:space="preserve">Редактировать</w:t>
      </w:r>
      <w:r>
        <w:t xml:space="preserve"> </w:t>
      </w:r>
      <w:r>
        <w:t xml:space="preserve">открывает выбранную копию в редакторе записи. Этот вариант удобен, когда нужно сначала проверить поля и внести точечные изменения, а затем сохранить результат через обычные команды редактора.</w:t>
      </w:r>
    </w:p>
    <w:p>
      <w:pPr>
        <w:pStyle w:val="BodyText"/>
      </w:pPr>
      <w:r>
        <w:t xml:space="preserve">Если система не может прочитать выбранную копию или у пользователя нет прав на корректировку, вместо сравнения или действия выводится сообщение об ошибке.</w:t>
      </w:r>
    </w:p>
    <w:bookmarkEnd w:id="290"/>
    <w:bookmarkEnd w:id="291"/>
    <w:bookmarkStart w:id="301" w:name="Xcd785d6a28cecce40f40fd58fa8fc2320a2ba71"/>
    <w:p>
      <w:pPr>
        <w:pStyle w:val="Heading2"/>
      </w:pPr>
      <w:r>
        <w:t xml:space="preserve">Создание новой записи на основе выбранной</w:t>
      </w:r>
    </w:p>
    <w:p>
      <w:pPr>
        <w:pStyle w:val="FirstParagraph"/>
      </w:pPr>
      <w:r>
        <w:t xml:space="preserve">Раздел подготовлен по материалам старого документа «АРМ Каталогизатор 128».</w:t>
      </w:r>
    </w:p>
    <w:bookmarkStart w:id="292" w:name="назначение-2"/>
    <w:p>
      <w:pPr>
        <w:pStyle w:val="Heading3"/>
      </w:pPr>
      <w:r>
        <w:t xml:space="preserve">1. Назначение</w:t>
      </w:r>
    </w:p>
    <w:p>
      <w:pPr>
        <w:pStyle w:val="FirstParagraph"/>
      </w:pPr>
      <w:r>
        <w:t xml:space="preserve">Сценарий используется, когда новая библиографическая запись должна быть создана как копия уже существующей записи с последующей корректировкой полей.</w:t>
      </w:r>
    </w:p>
    <w:bookmarkEnd w:id="292"/>
    <w:bookmarkStart w:id="299" w:name="порядок-действий-2"/>
    <w:p>
      <w:pPr>
        <w:pStyle w:val="Heading3"/>
      </w:pPr>
      <w:r>
        <w:t xml:space="preserve">2. Порядок действий</w:t>
      </w:r>
    </w:p>
    <w:p>
      <w:pPr>
        <w:pStyle w:val="Compact"/>
        <w:numPr>
          <w:ilvl w:val="0"/>
          <w:numId w:val="1100"/>
        </w:numPr>
      </w:pPr>
      <w:r>
        <w:t xml:space="preserve">В области поиска найдите запись, которую нужно использовать как основу.</w:t>
      </w:r>
    </w:p>
    <w:p>
      <w:pPr>
        <w:pStyle w:val="Compact"/>
        <w:numPr>
          <w:ilvl w:val="0"/>
          <w:numId w:val="1100"/>
        </w:numPr>
      </w:pPr>
      <w:r>
        <w:t xml:space="preserve">В области</w:t>
      </w:r>
      <w:r>
        <w:t xml:space="preserve"> </w:t>
      </w:r>
      <w:r>
        <w:rPr>
          <w:rStyle w:val="VerbatimChar"/>
        </w:rPr>
        <w:t xml:space="preserve">Результаты поиска</w:t>
      </w:r>
      <w:r>
        <w:t xml:space="preserve"> </w:t>
      </w:r>
      <w:r>
        <w:t xml:space="preserve">выделите найденную запись.</w:t>
      </w:r>
    </w:p>
    <w:p>
      <w:pPr>
        <w:pStyle w:val="Compact"/>
        <w:numPr>
          <w:ilvl w:val="0"/>
          <w:numId w:val="1100"/>
        </w:numPr>
      </w:pPr>
      <w:r>
        <w:t xml:space="preserve">На панели инструментов нажмите кнопку</w:t>
      </w:r>
      <w:r>
        <w:t xml:space="preserve"> </w:t>
      </w:r>
      <w:r>
        <w:rPr>
          <w:rStyle w:val="VerbatimChar"/>
        </w:rPr>
        <w:t xml:space="preserve">Создать новую запись из текущей</w:t>
      </w:r>
      <w:r>
        <w:t xml:space="preserve">.</w:t>
      </w:r>
    </w:p>
    <w:p>
      <w:pPr>
        <w:pStyle w:val="CaptionedFigure"/>
      </w:pPr>
      <w:r>
        <w:drawing>
          <wp:inline>
            <wp:extent cx="5334000" cy="3274990"/>
            <wp:effectExtent b="0" l="0" r="0" t="0"/>
            <wp:docPr descr="Создание новой записи на основе выбранной" title="" id="294" name="Picture"/>
            <a:graphic>
              <a:graphicData uri="http://schemas.openxmlformats.org/drawingml/2006/picture">
                <pic:pic>
                  <pic:nvPicPr>
                    <pic:cNvPr descr="modules/Cataloguer/Help/CataloguerGuide/CopyRecord01.png" id="295" name="Picture"/>
                    <pic:cNvPicPr>
                      <a:picLocks noChangeArrowheads="1" noChangeAspect="1"/>
                    </pic:cNvPicPr>
                  </pic:nvPicPr>
                  <pic:blipFill>
                    <a:blip r:embed="rId293"/>
                    <a:stretch>
                      <a:fillRect/>
                    </a:stretch>
                  </pic:blipFill>
                  <pic:spPr bwMode="auto">
                    <a:xfrm>
                      <a:off x="0" y="0"/>
                      <a:ext cx="5334000" cy="3274990"/>
                    </a:xfrm>
                    <a:prstGeom prst="rect">
                      <a:avLst/>
                    </a:prstGeom>
                    <a:noFill/>
                    <a:ln w="9525">
                      <a:noFill/>
                      <a:headEnd/>
                      <a:tailEnd/>
                    </a:ln>
                  </pic:spPr>
                </pic:pic>
              </a:graphicData>
            </a:graphic>
          </wp:inline>
        </w:drawing>
      </w:r>
    </w:p>
    <w:p>
      <w:pPr>
        <w:pStyle w:val="ImageCaption"/>
      </w:pPr>
      <w:r>
        <w:t xml:space="preserve">Создание новой записи на основе выбранной</w:t>
      </w:r>
    </w:p>
    <w:p>
      <w:pPr>
        <w:pStyle w:val="Compact"/>
        <w:numPr>
          <w:ilvl w:val="0"/>
          <w:numId w:val="1101"/>
        </w:numPr>
      </w:pPr>
      <w:r>
        <w:t xml:space="preserve">В открывшемся редакторе проверьте поля, скопированные из выбранной записи.</w:t>
      </w:r>
    </w:p>
    <w:p>
      <w:pPr>
        <w:pStyle w:val="Compact"/>
        <w:numPr>
          <w:ilvl w:val="0"/>
          <w:numId w:val="1101"/>
        </w:numPr>
      </w:pPr>
      <w:r>
        <w:t xml:space="preserve">Измените поля, которые должны отличаться в новой записи.</w:t>
      </w:r>
    </w:p>
    <w:p>
      <w:pPr>
        <w:pStyle w:val="Compact"/>
        <w:numPr>
          <w:ilvl w:val="0"/>
          <w:numId w:val="1101"/>
        </w:numPr>
      </w:pPr>
      <w:r>
        <w:t xml:space="preserve">При необходимости откройте поле для редактирования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01"/>
        </w:numPr>
      </w:pPr>
      <w:r>
        <w:t xml:space="preserve">После проверки записи нажмите</w:t>
      </w:r>
      <w:r>
        <w:t xml:space="preserve"> </w:t>
      </w:r>
      <w:r>
        <w:rPr>
          <w:rStyle w:val="VerbatimChar"/>
        </w:rPr>
        <w:t xml:space="preserve">Сохранить и закрыть</w:t>
      </w:r>
      <w:r>
        <w:t xml:space="preserve">.</w:t>
      </w:r>
    </w:p>
    <w:p>
      <w:pPr>
        <w:pStyle w:val="CaptionedFigure"/>
      </w:pPr>
      <w:r>
        <w:drawing>
          <wp:inline>
            <wp:extent cx="5334000" cy="3289365"/>
            <wp:effectExtent b="0" l="0" r="0" t="0"/>
            <wp:docPr descr="Редактирование новой записи на основе выбранной" title="" id="297" name="Picture"/>
            <a:graphic>
              <a:graphicData uri="http://schemas.openxmlformats.org/drawingml/2006/picture">
                <pic:pic>
                  <pic:nvPicPr>
                    <pic:cNvPr descr="modules/Cataloguer/Help/CataloguerGuide/CopyRecord02.png" id="298" name="Picture"/>
                    <pic:cNvPicPr>
                      <a:picLocks noChangeArrowheads="1" noChangeAspect="1"/>
                    </pic:cNvPicPr>
                  </pic:nvPicPr>
                  <pic:blipFill>
                    <a:blip r:embed="rId296"/>
                    <a:stretch>
                      <a:fillRect/>
                    </a:stretch>
                  </pic:blipFill>
                  <pic:spPr bwMode="auto">
                    <a:xfrm>
                      <a:off x="0" y="0"/>
                      <a:ext cx="5334000" cy="3289365"/>
                    </a:xfrm>
                    <a:prstGeom prst="rect">
                      <a:avLst/>
                    </a:prstGeom>
                    <a:noFill/>
                    <a:ln w="9525">
                      <a:noFill/>
                      <a:headEnd/>
                      <a:tailEnd/>
                    </a:ln>
                  </pic:spPr>
                </pic:pic>
              </a:graphicData>
            </a:graphic>
          </wp:inline>
        </w:drawing>
      </w:r>
    </w:p>
    <w:p>
      <w:pPr>
        <w:pStyle w:val="ImageCaption"/>
      </w:pPr>
      <w:r>
        <w:t xml:space="preserve">Редактирование новой записи на основе выбранной</w:t>
      </w:r>
    </w:p>
    <w:bookmarkEnd w:id="299"/>
    <w:bookmarkStart w:id="300" w:name="результат-3"/>
    <w:p>
      <w:pPr>
        <w:pStyle w:val="Heading3"/>
      </w:pPr>
      <w:r>
        <w:t xml:space="preserve">3. Результат</w:t>
      </w:r>
    </w:p>
    <w:p>
      <w:pPr>
        <w:pStyle w:val="FirstParagraph"/>
      </w:pPr>
      <w:r>
        <w:t xml:space="preserve">В выбранной базе данных создаётся новая запись, заполненная на основе ранее выбранной записи и внесённых пользователем изменений.</w:t>
      </w:r>
    </w:p>
    <w:bookmarkEnd w:id="300"/>
    <w:bookmarkEnd w:id="301"/>
    <w:bookmarkStart w:id="314" w:name="X5cb9614eca93c318ecdcda052e9e28e88651946"/>
    <w:p>
      <w:pPr>
        <w:pStyle w:val="Heading2"/>
      </w:pPr>
      <w:r>
        <w:t xml:space="preserve">Импорт записи в другую БД с открытием редактора</w:t>
      </w:r>
    </w:p>
    <w:bookmarkStart w:id="302" w:name="назначение-3"/>
    <w:p>
      <w:pPr>
        <w:pStyle w:val="Heading3"/>
      </w:pPr>
      <w:r>
        <w:t xml:space="preserve">1. Назначение</w:t>
      </w:r>
    </w:p>
    <w:p>
      <w:pPr>
        <w:pStyle w:val="FirstParagraph"/>
      </w:pPr>
      <w:r>
        <w:t xml:space="preserve">Сценарий используется, когда найденную запись нужно перенести в другую доступную БД и сразу проверить ее в редакторе. Это не пакетный импорт из файла: действие работает с одной выбранной записью из списка результатов.</w:t>
      </w:r>
    </w:p>
    <w:bookmarkEnd w:id="302"/>
    <w:bookmarkStart w:id="306" w:name="настройка-профиля"/>
    <w:p>
      <w:pPr>
        <w:pStyle w:val="Heading3"/>
      </w:pPr>
      <w:r>
        <w:t xml:space="preserve">2. Настройка профиля</w:t>
      </w:r>
    </w:p>
    <w:p>
      <w:pPr>
        <w:pStyle w:val="FirstParagraph"/>
      </w:pPr>
      <w:r>
        <w:t xml:space="preserve">Пункт меню включается в профиле АРМ Каталогизатор в группе</w:t>
      </w:r>
      <w:r>
        <w:t xml:space="preserve"> </w:t>
      </w:r>
      <w:r>
        <w:rPr>
          <w:rStyle w:val="VerbatimChar"/>
        </w:rPr>
        <w:t xml:space="preserve">Настройки кнопки Импортировать в БД ... и редактировать</w:t>
      </w:r>
      <w:r>
        <w:t xml:space="preserve">.</w:t>
      </w:r>
    </w:p>
    <w:p>
      <w:pPr>
        <w:pStyle w:val="CaptionedFigure"/>
      </w:pPr>
      <w:r>
        <w:drawing>
          <wp:inline>
            <wp:extent cx="5334000" cy="2811478"/>
            <wp:effectExtent b="0" l="0" r="0" t="0"/>
            <wp:docPr descr="Рисунок 1 - Настройки кнопки импорта и редактирования" title="Настройки кнопки импорта и редактирования" id="304" name="Picture"/>
            <a:graphic>
              <a:graphicData uri="http://schemas.openxmlformats.org/drawingml/2006/picture">
                <pic:pic>
                  <pic:nvPicPr>
                    <pic:cNvPr descr="modules/Cataloguer/Help/CataloguerGuide/img/ImportAndEditRecord01.png" id="305" name="Picture"/>
                    <pic:cNvPicPr>
                      <a:picLocks noChangeArrowheads="1" noChangeAspect="1"/>
                    </pic:cNvPicPr>
                  </pic:nvPicPr>
                  <pic:blipFill>
                    <a:blip r:embed="rId303"/>
                    <a:stretch>
                      <a:fillRect/>
                    </a:stretch>
                  </pic:blipFill>
                  <pic:spPr bwMode="auto">
                    <a:xfrm>
                      <a:off x="0" y="0"/>
                      <a:ext cx="5334000" cy="2811478"/>
                    </a:xfrm>
                    <a:prstGeom prst="rect">
                      <a:avLst/>
                    </a:prstGeom>
                    <a:noFill/>
                    <a:ln w="9525">
                      <a:noFill/>
                      <a:headEnd/>
                      <a:tailEnd/>
                    </a:ln>
                  </pic:spPr>
                </pic:pic>
              </a:graphicData>
            </a:graphic>
          </wp:inline>
        </w:drawing>
      </w:r>
    </w:p>
    <w:p>
      <w:pPr>
        <w:pStyle w:val="ImageCaption"/>
      </w:pPr>
      <w:r>
        <w:t xml:space="preserve">Рисунок 1 - Настройки кнопки импорта и редактирования</w:t>
      </w:r>
    </w:p>
    <w:p>
      <w:pPr>
        <w:pStyle w:val="BodyText"/>
      </w:pPr>
      <w:r>
        <w:t xml:space="preserve">Параметр</w:t>
      </w:r>
      <w:r>
        <w:t xml:space="preserve"> </w:t>
      </w:r>
      <w:r>
        <w:rPr>
          <w:rStyle w:val="VerbatimChar"/>
        </w:rPr>
        <w:t xml:space="preserve">importAndEditEnabled</w:t>
      </w:r>
      <w:r>
        <w:t xml:space="preserve"> </w:t>
      </w:r>
      <w:r>
        <w:t xml:space="preserve">включает показ пунктов меню. Значение хранится в</w:t>
      </w:r>
      <w:r>
        <w:t xml:space="preserve"> </w:t>
      </w:r>
      <w:r>
        <w:rPr>
          <w:rStyle w:val="VerbatimChar"/>
        </w:rPr>
        <w:t xml:space="preserve">708^A</w:t>
      </w:r>
      <w:r>
        <w:t xml:space="preserve">.</w:t>
      </w:r>
    </w:p>
    <w:p>
      <w:pPr>
        <w:pStyle w:val="BodyText"/>
      </w:pPr>
      <w:r>
        <w:t xml:space="preserve">Параметр</w:t>
      </w:r>
      <w:r>
        <w:t xml:space="preserve"> </w:t>
      </w:r>
      <w:r>
        <w:rPr>
          <w:rStyle w:val="VerbatimChar"/>
        </w:rPr>
        <w:t xml:space="preserve">importAndEditExcludeDbs</w:t>
      </w:r>
      <w:r>
        <w:t xml:space="preserve"> </w:t>
      </w:r>
      <w:r>
        <w:t xml:space="preserve">задает список БД, которые не нужно предлагать как назначение. Значения хранятся в</w:t>
      </w:r>
      <w:r>
        <w:t xml:space="preserve"> </w:t>
      </w:r>
      <w:r>
        <w:rPr>
          <w:rStyle w:val="VerbatimChar"/>
        </w:rPr>
        <w:t xml:space="preserve">707^A</w:t>
      </w:r>
      <w:r>
        <w:t xml:space="preserve">.</w:t>
      </w:r>
    </w:p>
    <w:p>
      <w:pPr>
        <w:pStyle w:val="BodyText"/>
      </w:pPr>
      <w:r>
        <w:t xml:space="preserve">По умолчанию меню отключено. Даже при включенной настройке пункт появляется только для БД, куда у пользователя есть право редактирования. БД из списка исключений не показываются.</w:t>
      </w:r>
    </w:p>
    <w:bookmarkEnd w:id="306"/>
    <w:bookmarkStart w:id="307" w:name="доступность-действия"/>
    <w:p>
      <w:pPr>
        <w:pStyle w:val="Heading3"/>
      </w:pPr>
      <w:r>
        <w:t xml:space="preserve">3. Доступность действия</w:t>
      </w:r>
    </w:p>
    <w:p>
      <w:pPr>
        <w:pStyle w:val="FirstParagraph"/>
      </w:pPr>
      <w:r>
        <w:t xml:space="preserve">Пункт показывается для записей типов</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NJ</w:t>
      </w:r>
      <w:r>
        <w:t xml:space="preserve"> </w:t>
      </w:r>
      <w:r>
        <w:t xml:space="preserve">и</w:t>
      </w:r>
      <w:r>
        <w:t xml:space="preserve"> </w:t>
      </w:r>
      <w:r>
        <w:rPr>
          <w:rStyle w:val="VerbatimChar"/>
        </w:rPr>
        <w:t xml:space="preserve">ASP</w:t>
      </w:r>
      <w:r>
        <w:t xml:space="preserve">. Тип определяется по полю</w:t>
      </w:r>
      <w:r>
        <w:t xml:space="preserve"> </w:t>
      </w:r>
      <w:r>
        <w:rPr>
          <w:rStyle w:val="VerbatimChar"/>
        </w:rPr>
        <w:t xml:space="preserve">920</w:t>
      </w:r>
      <w:r>
        <w:t xml:space="preserve">.</w:t>
      </w:r>
    </w:p>
    <w:p>
      <w:pPr>
        <w:pStyle w:val="BodyText"/>
      </w:pPr>
      <w:r>
        <w:t xml:space="preserve">Пользователь должен иметь право просмотра АРМ Каталогизатор и право</w:t>
      </w:r>
      <w:r>
        <w:t xml:space="preserve"> </w:t>
      </w:r>
      <w:r>
        <w:rPr>
          <w:rStyle w:val="VerbatimChar"/>
        </w:rPr>
        <w:t xml:space="preserve">EDIT</w:t>
      </w:r>
      <w:r>
        <w:t xml:space="preserve"> </w:t>
      </w:r>
      <w:r>
        <w:t xml:space="preserve">на БД назначения. Текущая БД записи не предлагается как назначение, чтобы запись не копировалась в саму себя.</w:t>
      </w:r>
    </w:p>
    <w:p>
      <w:pPr>
        <w:pStyle w:val="BodyText"/>
      </w:pPr>
      <w:r>
        <w:t xml:space="preserve">Если в списке доступных БД используется специальная БД</w:t>
      </w:r>
      <w:r>
        <w:t xml:space="preserve"> </w:t>
      </w:r>
      <w:r>
        <w:rPr>
          <w:rStyle w:val="VerbatimChar"/>
        </w:rPr>
        <w:t xml:space="preserve">BD</w:t>
      </w:r>
      <w:r>
        <w:t xml:space="preserve">, система показывает отдельный пункт назначения для</w:t>
      </w:r>
      <w:r>
        <w:t xml:space="preserve"> </w:t>
      </w:r>
      <w:r>
        <w:rPr>
          <w:rStyle w:val="VerbatimChar"/>
        </w:rPr>
        <w:t xml:space="preserve">BD</w:t>
      </w:r>
      <w:r>
        <w:t xml:space="preserve">; при работе из самой</w:t>
      </w:r>
      <w:r>
        <w:t xml:space="preserve"> </w:t>
      </w:r>
      <w:r>
        <w:rPr>
          <w:rStyle w:val="VerbatimChar"/>
        </w:rPr>
        <w:t xml:space="preserve">BD</w:t>
      </w:r>
      <w:r>
        <w:t xml:space="preserve"> </w:t>
      </w:r>
      <w:r>
        <w:t xml:space="preserve">этот пункт не выводится.</w:t>
      </w:r>
    </w:p>
    <w:bookmarkEnd w:id="307"/>
    <w:bookmarkStart w:id="311" w:name="порядок-действий-3"/>
    <w:p>
      <w:pPr>
        <w:pStyle w:val="Heading3"/>
      </w:pPr>
      <w:r>
        <w:t xml:space="preserve">4. Порядок действий</w:t>
      </w:r>
    </w:p>
    <w:p>
      <w:pPr>
        <w:pStyle w:val="Compact"/>
        <w:numPr>
          <w:ilvl w:val="0"/>
          <w:numId w:val="1102"/>
        </w:numPr>
      </w:pPr>
      <w:r>
        <w:t xml:space="preserve">Найдите запись в АРМ Каталогизатор.</w:t>
      </w:r>
    </w:p>
    <w:p>
      <w:pPr>
        <w:pStyle w:val="Compact"/>
        <w:numPr>
          <w:ilvl w:val="0"/>
          <w:numId w:val="1102"/>
        </w:numPr>
      </w:pPr>
      <w:r>
        <w:t xml:space="preserve">Выделите запись в области</w:t>
      </w:r>
      <w:r>
        <w:t xml:space="preserve"> </w:t>
      </w:r>
      <w:r>
        <w:rPr>
          <w:rStyle w:val="VerbatimChar"/>
        </w:rPr>
        <w:t xml:space="preserve">Результаты поиска</w:t>
      </w:r>
      <w:r>
        <w:t xml:space="preserve">.</w:t>
      </w:r>
    </w:p>
    <w:p>
      <w:pPr>
        <w:pStyle w:val="Compact"/>
        <w:numPr>
          <w:ilvl w:val="0"/>
          <w:numId w:val="1102"/>
        </w:numPr>
      </w:pPr>
      <w:r>
        <w:t xml:space="preserve">Нажмите кнопку</w:t>
      </w:r>
      <w:r>
        <w:t xml:space="preserve"> </w:t>
      </w:r>
      <w:r>
        <w:rPr>
          <w:rStyle w:val="VerbatimChar"/>
        </w:rPr>
        <w:t xml:space="preserve">Дополнительные действия для текущей записи</w:t>
      </w:r>
      <w:r>
        <w:t xml:space="preserve">.</w:t>
      </w:r>
    </w:p>
    <w:p>
      <w:pPr>
        <w:pStyle w:val="Compact"/>
        <w:numPr>
          <w:ilvl w:val="0"/>
          <w:numId w:val="1102"/>
        </w:numPr>
      </w:pPr>
      <w:r>
        <w:t xml:space="preserve">Выберите пункт</w:t>
      </w:r>
      <w:r>
        <w:t xml:space="preserve"> </w:t>
      </w:r>
      <w:r>
        <w:rPr>
          <w:rStyle w:val="VerbatimChar"/>
        </w:rPr>
        <w:t xml:space="preserve">Импортировать запись в БД &lt;имя_БД&gt; и редактировать</w:t>
      </w:r>
      <w:r>
        <w:t xml:space="preserve">.</w:t>
      </w:r>
    </w:p>
    <w:p>
      <w:pPr>
        <w:pStyle w:val="CaptionedFigure"/>
      </w:pPr>
      <w:r>
        <w:drawing>
          <wp:inline>
            <wp:extent cx="5334000" cy="2042808"/>
            <wp:effectExtent b="0" l="0" r="0" t="0"/>
            <wp:docPr descr="Рисунок 2 - Выбор действия импорта записи в БД с редактированием" title="Выбор действия импорта записи в БД с редактированием" id="309" name="Picture"/>
            <a:graphic>
              <a:graphicData uri="http://schemas.openxmlformats.org/drawingml/2006/picture">
                <pic:pic>
                  <pic:nvPicPr>
                    <pic:cNvPr descr="modules/Cataloguer/Help/CataloguerGuide/img/ImportAndEditRecord02.png" id="310" name="Picture"/>
                    <pic:cNvPicPr>
                      <a:picLocks noChangeArrowheads="1" noChangeAspect="1"/>
                    </pic:cNvPicPr>
                  </pic:nvPicPr>
                  <pic:blipFill>
                    <a:blip r:embed="rId308"/>
                    <a:stretch>
                      <a:fillRect/>
                    </a:stretch>
                  </pic:blipFill>
                  <pic:spPr bwMode="auto">
                    <a:xfrm>
                      <a:off x="0" y="0"/>
                      <a:ext cx="5334000" cy="2042808"/>
                    </a:xfrm>
                    <a:prstGeom prst="rect">
                      <a:avLst/>
                    </a:prstGeom>
                    <a:noFill/>
                    <a:ln w="9525">
                      <a:noFill/>
                      <a:headEnd/>
                      <a:tailEnd/>
                    </a:ln>
                  </pic:spPr>
                </pic:pic>
              </a:graphicData>
            </a:graphic>
          </wp:inline>
        </w:drawing>
      </w:r>
    </w:p>
    <w:p>
      <w:pPr>
        <w:pStyle w:val="ImageCaption"/>
      </w:pPr>
      <w:r>
        <w:t xml:space="preserve">Рисунок 2 - Выбор действия импорта записи в БД с редактированием</w:t>
      </w:r>
    </w:p>
    <w:p>
      <w:pPr>
        <w:pStyle w:val="BodyText"/>
      </w:pPr>
      <w:r>
        <w:t xml:space="preserve">После выбора пункта открывается редактор новой записи в БД назначения. Проверьте перенесенные поля, внесите нужные изменения и сохраните запись.</w:t>
      </w:r>
    </w:p>
    <w:bookmarkEnd w:id="311"/>
    <w:bookmarkStart w:id="312" w:name="обработка-записи"/>
    <w:p>
      <w:pPr>
        <w:pStyle w:val="Heading3"/>
      </w:pPr>
      <w:r>
        <w:t xml:space="preserve">5. Обработка записи</w:t>
      </w:r>
    </w:p>
    <w:p>
      <w:pPr>
        <w:pStyle w:val="FirstParagraph"/>
      </w:pPr>
      <w:r>
        <w:t xml:space="preserve">Перед открытием редактора система копирует содержимое исходной записи, очищает служебные поля</w:t>
      </w:r>
      <w:r>
        <w:t xml:space="preserve"> </w:t>
      </w:r>
      <w:r>
        <w:rPr>
          <w:rStyle w:val="VerbatimChar"/>
        </w:rPr>
        <w:t xml:space="preserve">113</w:t>
      </w:r>
      <w:r>
        <w:t xml:space="preserve">,</w:t>
      </w:r>
      <w:r>
        <w:t xml:space="preserve"> </w:t>
      </w:r>
      <w:r>
        <w:rPr>
          <w:rStyle w:val="VerbatimChar"/>
        </w:rPr>
        <w:t xml:space="preserve">902</w:t>
      </w:r>
      <w:r>
        <w:t xml:space="preserve">,</w:t>
      </w:r>
      <w:r>
        <w:t xml:space="preserve"> </w:t>
      </w:r>
      <w:r>
        <w:rPr>
          <w:rStyle w:val="VerbatimChar"/>
        </w:rPr>
        <w:t xml:space="preserve">903</w:t>
      </w:r>
      <w:r>
        <w:t xml:space="preserve"> </w:t>
      </w:r>
      <w:r>
        <w:t xml:space="preserve">и</w:t>
      </w:r>
      <w:r>
        <w:t xml:space="preserve"> </w:t>
      </w:r>
      <w:r>
        <w:rPr>
          <w:rStyle w:val="VerbatimChar"/>
        </w:rPr>
        <w:t xml:space="preserve">907</w:t>
      </w:r>
      <w:r>
        <w:t xml:space="preserve">, назначает новый SID и подготавливает временное состояние новой записи.</w:t>
      </w:r>
    </w:p>
    <w:p>
      <w:pPr>
        <w:pStyle w:val="BodyText"/>
      </w:pPr>
      <w:r>
        <w:t xml:space="preserve">Если нужно изменить состав переносимых данных, используется точка расширения</w:t>
      </w:r>
      <w:r>
        <w:t xml:space="preserve"> </w:t>
      </w:r>
      <w:r>
        <w:rPr>
          <w:rStyle w:val="VerbatimChar"/>
        </w:rPr>
        <w:t xml:space="preserve">Cataloguer/ImportAndEditTransform</w:t>
      </w:r>
      <w:r>
        <w:t xml:space="preserve">. По умолчанию она возвращает запись без дополнительных изменений; проектная реализация может удалить, добавить или преобразовать поля перед открытием редактора.</w:t>
      </w:r>
    </w:p>
    <w:bookmarkEnd w:id="312"/>
    <w:bookmarkStart w:id="313" w:name="результат-4"/>
    <w:p>
      <w:pPr>
        <w:pStyle w:val="Heading3"/>
      </w:pPr>
      <w:r>
        <w:t xml:space="preserve">6. Результат</w:t>
      </w:r>
    </w:p>
    <w:p>
      <w:pPr>
        <w:pStyle w:val="FirstParagraph"/>
      </w:pPr>
      <w:r>
        <w:t xml:space="preserve">В выбранной БД создается новая запись на основе исходной. Пользователь сразу видит ее в редакторе и сохраняет только после проверки.</w:t>
      </w:r>
    </w:p>
    <w:bookmarkEnd w:id="313"/>
    <w:bookmarkEnd w:id="314"/>
    <w:bookmarkStart w:id="324" w:name="X6b03994e477a9debab011f63b8e3f47bf151acc"/>
    <w:p>
      <w:pPr>
        <w:pStyle w:val="Heading2"/>
      </w:pPr>
      <w:r>
        <w:t xml:space="preserve">Удаление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315" w:name="предварительные-условия-2"/>
    <w:p>
      <w:pPr>
        <w:pStyle w:val="Heading3"/>
      </w:pPr>
      <w:r>
        <w:t xml:space="preserve">1. Предварительные условия</w:t>
      </w:r>
    </w:p>
    <w:p>
      <w:pPr>
        <w:pStyle w:val="FirstParagraph"/>
      </w:pPr>
      <w:r>
        <w:t xml:space="preserve">Перед удалением найдите записи, которые нужно удалить, и убедитесь, что у пользователя есть права на удаление записей выбранной базы данных.</w:t>
      </w:r>
    </w:p>
    <w:p>
      <w:pPr>
        <w:pStyle w:val="BodyText"/>
      </w:pPr>
      <w:r>
        <w:t xml:space="preserve">Удаление меняет состав базы данных. Перед подтверждением операции внимательно проверьте список выбранных записей.</w:t>
      </w:r>
    </w:p>
    <w:bookmarkEnd w:id="315"/>
    <w:bookmarkStart w:id="322" w:name="порядок-действий-4"/>
    <w:p>
      <w:pPr>
        <w:pStyle w:val="Heading3"/>
      </w:pPr>
      <w:r>
        <w:t xml:space="preserve">2. Порядок действий</w:t>
      </w:r>
    </w:p>
    <w:p>
      <w:pPr>
        <w:pStyle w:val="Compact"/>
        <w:numPr>
          <w:ilvl w:val="0"/>
          <w:numId w:val="1103"/>
        </w:numPr>
      </w:pPr>
      <w:r>
        <w:t xml:space="preserve">В области поиска найдите запись или несколько записей, которые нужно удалить.</w:t>
      </w:r>
    </w:p>
    <w:p>
      <w:pPr>
        <w:pStyle w:val="Compact"/>
        <w:numPr>
          <w:ilvl w:val="0"/>
          <w:numId w:val="1103"/>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03"/>
        </w:numPr>
      </w:pPr>
      <w:r>
        <w:t xml:space="preserve">На панели инструментов нажмите кнопку</w:t>
      </w:r>
      <w:r>
        <w:t xml:space="preserve"> </w:t>
      </w:r>
      <w:r>
        <w:rPr>
          <w:rStyle w:val="VerbatimChar"/>
        </w:rPr>
        <w:t xml:space="preserve">Удалить записи</w:t>
      </w:r>
      <w:r>
        <w:t xml:space="preserve">.</w:t>
      </w:r>
    </w:p>
    <w:p>
      <w:pPr>
        <w:pStyle w:val="CaptionedFigure"/>
      </w:pPr>
      <w:r>
        <w:drawing>
          <wp:inline>
            <wp:extent cx="5334000" cy="1614187"/>
            <wp:effectExtent b="0" l="0" r="0" t="0"/>
            <wp:docPr descr="Удаление записей из БД" title="" id="317" name="Picture"/>
            <a:graphic>
              <a:graphicData uri="http://schemas.openxmlformats.org/drawingml/2006/picture">
                <pic:pic>
                  <pic:nvPicPr>
                    <pic:cNvPr descr="modules/Cataloguer/Help/CataloguerGuide/DeleteRecords01.png" id="318" name="Picture"/>
                    <pic:cNvPicPr>
                      <a:picLocks noChangeArrowheads="1" noChangeAspect="1"/>
                    </pic:cNvPicPr>
                  </pic:nvPicPr>
                  <pic:blipFill>
                    <a:blip r:embed="rId316"/>
                    <a:stretch>
                      <a:fillRect/>
                    </a:stretch>
                  </pic:blipFill>
                  <pic:spPr bwMode="auto">
                    <a:xfrm>
                      <a:off x="0" y="0"/>
                      <a:ext cx="5334000" cy="1614187"/>
                    </a:xfrm>
                    <a:prstGeom prst="rect">
                      <a:avLst/>
                    </a:prstGeom>
                    <a:noFill/>
                    <a:ln w="9525">
                      <a:noFill/>
                      <a:headEnd/>
                      <a:tailEnd/>
                    </a:ln>
                  </pic:spPr>
                </pic:pic>
              </a:graphicData>
            </a:graphic>
          </wp:inline>
        </w:drawing>
      </w:r>
    </w:p>
    <w:p>
      <w:pPr>
        <w:pStyle w:val="ImageCaption"/>
      </w:pPr>
      <w:r>
        <w:t xml:space="preserve">Удаление записей из БД</w:t>
      </w:r>
    </w:p>
    <w:p>
      <w:pPr>
        <w:pStyle w:val="Compact"/>
        <w:numPr>
          <w:ilvl w:val="0"/>
          <w:numId w:val="1104"/>
        </w:numPr>
      </w:pPr>
      <w:r>
        <w:t xml:space="preserve">В окне подтверждения проверьте, какие записи будут удалены.</w:t>
      </w:r>
    </w:p>
    <w:p>
      <w:pPr>
        <w:pStyle w:val="Compact"/>
        <w:numPr>
          <w:ilvl w:val="0"/>
          <w:numId w:val="1104"/>
        </w:numPr>
      </w:pPr>
      <w:r>
        <w:t xml:space="preserve">Подтвердите удаление кнопкой</w:t>
      </w:r>
      <w:r>
        <w:t xml:space="preserve"> </w:t>
      </w:r>
      <w:r>
        <w:rPr>
          <w:rStyle w:val="VerbatimChar"/>
        </w:rPr>
        <w:t xml:space="preserve">Ok</w:t>
      </w:r>
      <w:r>
        <w:t xml:space="preserve">.</w:t>
      </w:r>
    </w:p>
    <w:p>
      <w:pPr>
        <w:pStyle w:val="CaptionedFigure"/>
      </w:pPr>
      <w:r>
        <w:drawing>
          <wp:inline>
            <wp:extent cx="5334000" cy="1215505"/>
            <wp:effectExtent b="0" l="0" r="0" t="0"/>
            <wp:docPr descr="Окно подтверждения удаления записей" title="" id="320" name="Picture"/>
            <a:graphic>
              <a:graphicData uri="http://schemas.openxmlformats.org/drawingml/2006/picture">
                <pic:pic>
                  <pic:nvPicPr>
                    <pic:cNvPr descr="modules/Cataloguer/Help/CataloguerGuide/DeleteRecords02.png" id="321" name="Picture"/>
                    <pic:cNvPicPr>
                      <a:picLocks noChangeArrowheads="1" noChangeAspect="1"/>
                    </pic:cNvPicPr>
                  </pic:nvPicPr>
                  <pic:blipFill>
                    <a:blip r:embed="rId319"/>
                    <a:stretch>
                      <a:fillRect/>
                    </a:stretch>
                  </pic:blipFill>
                  <pic:spPr bwMode="auto">
                    <a:xfrm>
                      <a:off x="0" y="0"/>
                      <a:ext cx="5334000" cy="1215505"/>
                    </a:xfrm>
                    <a:prstGeom prst="rect">
                      <a:avLst/>
                    </a:prstGeom>
                    <a:noFill/>
                    <a:ln w="9525">
                      <a:noFill/>
                      <a:headEnd/>
                      <a:tailEnd/>
                    </a:ln>
                  </pic:spPr>
                </pic:pic>
              </a:graphicData>
            </a:graphic>
          </wp:inline>
        </w:drawing>
      </w:r>
    </w:p>
    <w:p>
      <w:pPr>
        <w:pStyle w:val="ImageCaption"/>
      </w:pPr>
      <w:r>
        <w:t xml:space="preserve">Окно подтверждения удаления записей</w:t>
      </w:r>
    </w:p>
    <w:bookmarkEnd w:id="322"/>
    <w:bookmarkStart w:id="323" w:name="результат-5"/>
    <w:p>
      <w:pPr>
        <w:pStyle w:val="Heading3"/>
      </w:pPr>
      <w:r>
        <w:t xml:space="preserve">3. Результат</w:t>
      </w:r>
    </w:p>
    <w:p>
      <w:pPr>
        <w:pStyle w:val="FirstParagraph"/>
      </w:pPr>
      <w:r>
        <w:t xml:space="preserve">Выбранные записи удаляются из базы данных электронного каталога.</w:t>
      </w:r>
    </w:p>
    <w:bookmarkEnd w:id="323"/>
    <w:bookmarkEnd w:id="324"/>
    <w:bookmarkStart w:id="337" w:name="вывод-записей-на-печать"/>
    <w:p>
      <w:pPr>
        <w:pStyle w:val="Heading2"/>
      </w:pPr>
      <w:r>
        <w:t xml:space="preserve">Вывод записей на печать</w:t>
      </w:r>
    </w:p>
    <w:p>
      <w:pPr>
        <w:pStyle w:val="FirstParagraph"/>
      </w:pPr>
      <w:r>
        <w:t xml:space="preserve">Раздел подготовлен по материалам старого документа «АРМ Каталогизатор 128».</w:t>
      </w:r>
    </w:p>
    <w:bookmarkStart w:id="325" w:name="назначение-4"/>
    <w:p>
      <w:pPr>
        <w:pStyle w:val="Heading3"/>
      </w:pPr>
      <w:r>
        <w:t xml:space="preserve">1. Назначение</w:t>
      </w:r>
    </w:p>
    <w:p>
      <w:pPr>
        <w:pStyle w:val="FirstParagraph"/>
      </w:pPr>
      <w:r>
        <w:t xml:space="preserve">Сценарий используется для подготовки выбранных записей электронного каталога к печати. В результате система формирует файл в формате</w:t>
      </w:r>
      <w:r>
        <w:t xml:space="preserve"> </w:t>
      </w:r>
      <w:r>
        <w:rPr>
          <w:rStyle w:val="VerbatimChar"/>
        </w:rPr>
        <w:t xml:space="preserve">RTF</w:t>
      </w:r>
      <w:r>
        <w:t xml:space="preserve">, который можно сохранить и открыть в текстовом редакторе.</w:t>
      </w:r>
    </w:p>
    <w:bookmarkEnd w:id="325"/>
    <w:bookmarkStart w:id="335" w:name="порядок-действий-5"/>
    <w:p>
      <w:pPr>
        <w:pStyle w:val="Heading3"/>
      </w:pPr>
      <w:r>
        <w:t xml:space="preserve">2. Порядок действий</w:t>
      </w:r>
    </w:p>
    <w:p>
      <w:pPr>
        <w:pStyle w:val="Compact"/>
        <w:numPr>
          <w:ilvl w:val="0"/>
          <w:numId w:val="1105"/>
        </w:numPr>
      </w:pPr>
      <w:r>
        <w:t xml:space="preserve">В области поиска найдите запись или несколько записей, которые нужно вывести на печать.</w:t>
      </w:r>
    </w:p>
    <w:p>
      <w:pPr>
        <w:pStyle w:val="Compact"/>
        <w:numPr>
          <w:ilvl w:val="0"/>
          <w:numId w:val="1105"/>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05"/>
        </w:numPr>
      </w:pPr>
      <w:r>
        <w:t xml:space="preserve">На панели инструментов нажмите кнопку</w:t>
      </w:r>
      <w:r>
        <w:t xml:space="preserve"> </w:t>
      </w:r>
      <w:r>
        <w:rPr>
          <w:rStyle w:val="VerbatimChar"/>
        </w:rPr>
        <w:t xml:space="preserve">Печать документов</w:t>
      </w:r>
      <w:r>
        <w:t xml:space="preserve">.</w:t>
      </w:r>
    </w:p>
    <w:p>
      <w:pPr>
        <w:pStyle w:val="CaptionedFigure"/>
      </w:pPr>
      <w:r>
        <w:drawing>
          <wp:inline>
            <wp:extent cx="5334000" cy="1648900"/>
            <wp:effectExtent b="0" l="0" r="0" t="0"/>
            <wp:docPr descr="Печать записей из БД" title="" id="327" name="Picture"/>
            <a:graphic>
              <a:graphicData uri="http://schemas.openxmlformats.org/drawingml/2006/picture">
                <pic:pic>
                  <pic:nvPicPr>
                    <pic:cNvPr descr="modules/Cataloguer/Help/CataloguerGuide/PrintRecords01.png" id="328" name="Picture"/>
                    <pic:cNvPicPr>
                      <a:picLocks noChangeArrowheads="1" noChangeAspect="1"/>
                    </pic:cNvPicPr>
                  </pic:nvPicPr>
                  <pic:blipFill>
                    <a:blip r:embed="rId326"/>
                    <a:stretch>
                      <a:fillRect/>
                    </a:stretch>
                  </pic:blipFill>
                  <pic:spPr bwMode="auto">
                    <a:xfrm>
                      <a:off x="0" y="0"/>
                      <a:ext cx="5334000" cy="1648900"/>
                    </a:xfrm>
                    <a:prstGeom prst="rect">
                      <a:avLst/>
                    </a:prstGeom>
                    <a:noFill/>
                    <a:ln w="9525">
                      <a:noFill/>
                      <a:headEnd/>
                      <a:tailEnd/>
                    </a:ln>
                  </pic:spPr>
                </pic:pic>
              </a:graphicData>
            </a:graphic>
          </wp:inline>
        </w:drawing>
      </w:r>
    </w:p>
    <w:p>
      <w:pPr>
        <w:pStyle w:val="ImageCaption"/>
      </w:pPr>
      <w:r>
        <w:t xml:space="preserve">Печать записей из БД</w:t>
      </w:r>
    </w:p>
    <w:p>
      <w:pPr>
        <w:pStyle w:val="Compact"/>
        <w:numPr>
          <w:ilvl w:val="0"/>
          <w:numId w:val="1106"/>
        </w:numPr>
      </w:pPr>
      <w:r>
        <w:t xml:space="preserve">В окне подтверждения проверьте список записей, выбранных для печати.</w:t>
      </w:r>
    </w:p>
    <w:p>
      <w:pPr>
        <w:pStyle w:val="Compact"/>
        <w:numPr>
          <w:ilvl w:val="0"/>
          <w:numId w:val="1106"/>
        </w:numPr>
      </w:pPr>
      <w:r>
        <w:t xml:space="preserve">Нажмите</w:t>
      </w:r>
      <w:r>
        <w:t xml:space="preserve"> </w:t>
      </w:r>
      <w:r>
        <w:rPr>
          <w:rStyle w:val="VerbatimChar"/>
        </w:rPr>
        <w:t xml:space="preserve">Ok</w:t>
      </w:r>
      <w:r>
        <w:t xml:space="preserve">.</w:t>
      </w:r>
    </w:p>
    <w:p>
      <w:pPr>
        <w:pStyle w:val="CaptionedFigure"/>
      </w:pPr>
      <w:r>
        <w:drawing>
          <wp:inline>
            <wp:extent cx="5334000" cy="2320707"/>
            <wp:effectExtent b="0" l="0" r="0" t="0"/>
            <wp:docPr descr="Выбор записей для печати" title="" id="330" name="Picture"/>
            <a:graphic>
              <a:graphicData uri="http://schemas.openxmlformats.org/drawingml/2006/picture">
                <pic:pic>
                  <pic:nvPicPr>
                    <pic:cNvPr descr="modules/Cataloguer/Help/CataloguerGuide/PrintRecords02.png" id="331" name="Picture"/>
                    <pic:cNvPicPr>
                      <a:picLocks noChangeArrowheads="1" noChangeAspect="1"/>
                    </pic:cNvPicPr>
                  </pic:nvPicPr>
                  <pic:blipFill>
                    <a:blip r:embed="rId329"/>
                    <a:stretch>
                      <a:fillRect/>
                    </a:stretch>
                  </pic:blipFill>
                  <pic:spPr bwMode="auto">
                    <a:xfrm>
                      <a:off x="0" y="0"/>
                      <a:ext cx="5334000" cy="2320707"/>
                    </a:xfrm>
                    <a:prstGeom prst="rect">
                      <a:avLst/>
                    </a:prstGeom>
                    <a:noFill/>
                    <a:ln w="9525">
                      <a:noFill/>
                      <a:headEnd/>
                      <a:tailEnd/>
                    </a:ln>
                  </pic:spPr>
                </pic:pic>
              </a:graphicData>
            </a:graphic>
          </wp:inline>
        </w:drawing>
      </w:r>
    </w:p>
    <w:p>
      <w:pPr>
        <w:pStyle w:val="ImageCaption"/>
      </w:pPr>
      <w:r>
        <w:t xml:space="preserve">Выбор записей для печати</w:t>
      </w:r>
    </w:p>
    <w:p>
      <w:pPr>
        <w:pStyle w:val="Compact"/>
        <w:numPr>
          <w:ilvl w:val="0"/>
          <w:numId w:val="1107"/>
        </w:numPr>
      </w:pPr>
      <w:r>
        <w:t xml:space="preserve">В окне сохранения выберите папку и укажите имя файла печати.</w:t>
      </w:r>
    </w:p>
    <w:p>
      <w:pPr>
        <w:pStyle w:val="CaptionedFigure"/>
      </w:pPr>
      <w:r>
        <w:drawing>
          <wp:inline>
            <wp:extent cx="5334000" cy="1884171"/>
            <wp:effectExtent b="0" l="0" r="0" t="0"/>
            <wp:docPr descr="Выбор папки для сохранения файла печати" title="" id="333" name="Picture"/>
            <a:graphic>
              <a:graphicData uri="http://schemas.openxmlformats.org/drawingml/2006/picture">
                <pic:pic>
                  <pic:nvPicPr>
                    <pic:cNvPr descr="modules/Cataloguer/Help/CataloguerGuide/PrintRecords03.png" id="334" name="Picture"/>
                    <pic:cNvPicPr>
                      <a:picLocks noChangeArrowheads="1" noChangeAspect="1"/>
                    </pic:cNvPicPr>
                  </pic:nvPicPr>
                  <pic:blipFill>
                    <a:blip r:embed="rId332"/>
                    <a:stretch>
                      <a:fillRect/>
                    </a:stretch>
                  </pic:blipFill>
                  <pic:spPr bwMode="auto">
                    <a:xfrm>
                      <a:off x="0" y="0"/>
                      <a:ext cx="5334000" cy="1884171"/>
                    </a:xfrm>
                    <a:prstGeom prst="rect">
                      <a:avLst/>
                    </a:prstGeom>
                    <a:noFill/>
                    <a:ln w="9525">
                      <a:noFill/>
                      <a:headEnd/>
                      <a:tailEnd/>
                    </a:ln>
                  </pic:spPr>
                </pic:pic>
              </a:graphicData>
            </a:graphic>
          </wp:inline>
        </w:drawing>
      </w:r>
    </w:p>
    <w:p>
      <w:pPr>
        <w:pStyle w:val="ImageCaption"/>
      </w:pPr>
      <w:r>
        <w:t xml:space="preserve">Выбор папки для сохранения файла печати</w:t>
      </w:r>
    </w:p>
    <w:bookmarkEnd w:id="335"/>
    <w:bookmarkStart w:id="336" w:name="результат-6"/>
    <w:p>
      <w:pPr>
        <w:pStyle w:val="Heading3"/>
      </w:pPr>
      <w:r>
        <w:t xml:space="preserve">3. Результат</w:t>
      </w:r>
    </w:p>
    <w:p>
      <w:pPr>
        <w:pStyle w:val="FirstParagraph"/>
      </w:pPr>
      <w:r>
        <w:t xml:space="preserve">Система формирует файл печати выбранных записей в формате</w:t>
      </w:r>
      <w:r>
        <w:t xml:space="preserve"> </w:t>
      </w:r>
      <w:r>
        <w:rPr>
          <w:rStyle w:val="VerbatimChar"/>
        </w:rPr>
        <w:t xml:space="preserve">RTF</w:t>
      </w:r>
      <w:r>
        <w:t xml:space="preserve">.</w:t>
      </w:r>
    </w:p>
    <w:bookmarkEnd w:id="336"/>
    <w:bookmarkEnd w:id="337"/>
    <w:bookmarkStart w:id="348" w:name="статистические-формы-в-арм-каталогизатор"/>
    <w:p>
      <w:pPr>
        <w:pStyle w:val="Heading2"/>
      </w:pPr>
      <w:r>
        <w:t xml:space="preserve">Статистические формы в АРМ Каталогизатор</w:t>
      </w:r>
    </w:p>
    <w:bookmarkStart w:id="338" w:name="назначение-5"/>
    <w:p>
      <w:pPr>
        <w:pStyle w:val="Heading3"/>
      </w:pPr>
      <w:r>
        <w:t xml:space="preserve">1. Назначение</w:t>
      </w:r>
    </w:p>
    <w:p>
      <w:pPr>
        <w:pStyle w:val="FirstParagraph"/>
      </w:pPr>
      <w:r>
        <w:t xml:space="preserve">Статистические формы используются, когда нужно получить таблицу распределения найденных записей по двум признакам: строкам и столбцам. Например, форма может посчитать, сколько записей относится к каждому виду документа и каждому разделу знаний.</w:t>
      </w:r>
    </w:p>
    <w:p>
      <w:pPr>
        <w:pStyle w:val="BodyText"/>
      </w:pPr>
      <w:r>
        <w:t xml:space="preserve">Форма строится по текущей базе данных и текущему результату поиска в АРМ Каталогизатор. Итог открывается как HTML-файл</w:t>
      </w:r>
      <w:r>
        <w:t xml:space="preserve"> </w:t>
      </w:r>
      <w:r>
        <w:rPr>
          <w:rStyle w:val="VerbatimChar"/>
        </w:rPr>
        <w:t xml:space="preserve">StatFormResult.html</w:t>
      </w:r>
      <w:r>
        <w:t xml:space="preserve">.</w:t>
      </w:r>
    </w:p>
    <w:bookmarkEnd w:id="338"/>
    <w:bookmarkStart w:id="342" w:name="доступность-кнопки"/>
    <w:p>
      <w:pPr>
        <w:pStyle w:val="Heading3"/>
      </w:pPr>
      <w:r>
        <w:t xml:space="preserve">2. Доступность кнопки</w:t>
      </w:r>
    </w:p>
    <w:p>
      <w:pPr>
        <w:pStyle w:val="FirstParagraph"/>
      </w:pPr>
      <w:r>
        <w:t xml:space="preserve">Кнопка</w:t>
      </w:r>
      <w:r>
        <w:t xml:space="preserve"> </w:t>
      </w:r>
      <w:r>
        <w:rPr>
          <w:rStyle w:val="VerbatimChar"/>
        </w:rPr>
        <w:t xml:space="preserve">Статистические формы</w:t>
      </w:r>
      <w:r>
        <w:t xml:space="preserve"> </w:t>
      </w:r>
      <w:r>
        <w:t xml:space="preserve">находится на панели инструментов списка записей рядом с другими групповыми действиями над найденными документами.</w:t>
      </w:r>
    </w:p>
    <w:p>
      <w:pPr>
        <w:pStyle w:val="CaptionedFigure"/>
      </w:pPr>
      <w:r>
        <w:drawing>
          <wp:inline>
            <wp:extent cx="5334000" cy="220049"/>
            <wp:effectExtent b="0" l="0" r="0" t="0"/>
            <wp:docPr descr="Рисунок 1 - Панель инструментов АРМ Каталогизатор" title="Панель инструментов АРМ Каталогизатор" id="340" name="Picture"/>
            <a:graphic>
              <a:graphicData uri="http://schemas.openxmlformats.org/drawingml/2006/picture">
                <pic:pic>
                  <pic:nvPicPr>
                    <pic:cNvPr descr="modules/Cataloguer/Help/CataloguerGuide/img/statistical-forms-toolbar.png" id="341" name="Picture"/>
                    <pic:cNvPicPr>
                      <a:picLocks noChangeArrowheads="1" noChangeAspect="1"/>
                    </pic:cNvPicPr>
                  </pic:nvPicPr>
                  <pic:blipFill>
                    <a:blip r:embed="rId339"/>
                    <a:stretch>
                      <a:fillRect/>
                    </a:stretch>
                  </pic:blipFill>
                  <pic:spPr bwMode="auto">
                    <a:xfrm>
                      <a:off x="0" y="0"/>
                      <a:ext cx="5334000" cy="220049"/>
                    </a:xfrm>
                    <a:prstGeom prst="rect">
                      <a:avLst/>
                    </a:prstGeom>
                    <a:noFill/>
                    <a:ln w="9525">
                      <a:noFill/>
                      <a:headEnd/>
                      <a:tailEnd/>
                    </a:ln>
                  </pic:spPr>
                </pic:pic>
              </a:graphicData>
            </a:graphic>
          </wp:inline>
        </w:drawing>
      </w:r>
    </w:p>
    <w:p>
      <w:pPr>
        <w:pStyle w:val="ImageCaption"/>
      </w:pPr>
      <w:r>
        <w:t xml:space="preserve">Рисунок 1 - Панель инструментов АРМ Каталогизатор</w:t>
      </w:r>
    </w:p>
    <w:p>
      <w:pPr>
        <w:pStyle w:val="BodyText"/>
      </w:pPr>
      <w:r>
        <w:t xml:space="preserve">Если кнопки нет, проверьте у администратора профиль АРМ и право</w:t>
      </w:r>
      <w:r>
        <w:t xml:space="preserve"> </w:t>
      </w:r>
      <w:r>
        <w:rPr>
          <w:rStyle w:val="VerbatimChar"/>
        </w:rPr>
        <w:t xml:space="preserve">ALLOWSTATFORMS</w:t>
      </w:r>
      <w:r>
        <w:t xml:space="preserve">. Без этого права статистические формы не выводятся в панели инструментов.</w:t>
      </w:r>
    </w:p>
    <w:bookmarkEnd w:id="342"/>
    <w:bookmarkStart w:id="343" w:name="порядок-действий-6"/>
    <w:p>
      <w:pPr>
        <w:pStyle w:val="Heading3"/>
      </w:pPr>
      <w:r>
        <w:t xml:space="preserve">3. Порядок действий</w:t>
      </w:r>
    </w:p>
    <w:p>
      <w:pPr>
        <w:pStyle w:val="Compact"/>
        <w:numPr>
          <w:ilvl w:val="0"/>
          <w:numId w:val="1108"/>
        </w:numPr>
      </w:pPr>
      <w:r>
        <w:t xml:space="preserve">В области поиска найдите записи, по которым нужно построить статистику.</w:t>
      </w:r>
    </w:p>
    <w:p>
      <w:pPr>
        <w:pStyle w:val="Compact"/>
        <w:numPr>
          <w:ilvl w:val="0"/>
          <w:numId w:val="1108"/>
        </w:numPr>
      </w:pPr>
      <w:r>
        <w:t xml:space="preserve">Если нужно обработать только часть результата, отметьте нужные записи в списке.</w:t>
      </w:r>
    </w:p>
    <w:p>
      <w:pPr>
        <w:pStyle w:val="Compact"/>
        <w:numPr>
          <w:ilvl w:val="0"/>
          <w:numId w:val="1108"/>
        </w:numPr>
      </w:pPr>
      <w:r>
        <w:t xml:space="preserve">Нажмите кнопку</w:t>
      </w:r>
      <w:r>
        <w:t xml:space="preserve"> </w:t>
      </w:r>
      <w:r>
        <w:rPr>
          <w:rStyle w:val="VerbatimChar"/>
        </w:rPr>
        <w:t xml:space="preserve">Статистические формы</w:t>
      </w:r>
      <w:r>
        <w:t xml:space="preserve">.</w:t>
      </w:r>
    </w:p>
    <w:p>
      <w:pPr>
        <w:pStyle w:val="Compact"/>
        <w:numPr>
          <w:ilvl w:val="0"/>
          <w:numId w:val="1108"/>
        </w:numPr>
      </w:pPr>
      <w:r>
        <w:t xml:space="preserve">В окне выбора укажите область обработки:</w:t>
      </w:r>
    </w:p>
    <w:p>
      <w:pPr>
        <w:pStyle w:val="Compact"/>
        <w:numPr>
          <w:ilvl w:val="1"/>
          <w:numId w:val="1109"/>
        </w:numPr>
      </w:pPr>
      <w:r>
        <w:rPr>
          <w:rStyle w:val="VerbatimChar"/>
        </w:rPr>
        <w:t xml:space="preserve">Все</w:t>
      </w:r>
      <w:r>
        <w:t xml:space="preserve"> </w:t>
      </w:r>
      <w:r>
        <w:t xml:space="preserve">- все записи текущего результата поиска;</w:t>
      </w:r>
    </w:p>
    <w:p>
      <w:pPr>
        <w:pStyle w:val="Compact"/>
        <w:numPr>
          <w:ilvl w:val="1"/>
          <w:numId w:val="1109"/>
        </w:numPr>
      </w:pPr>
      <w:r>
        <w:rPr>
          <w:rStyle w:val="VerbatimChar"/>
        </w:rPr>
        <w:t xml:space="preserve">Отмеченные на текущей странице</w:t>
      </w:r>
      <w:r>
        <w:t xml:space="preserve"> </w:t>
      </w:r>
      <w:r>
        <w:t xml:space="preserve">- только отмеченные записи;</w:t>
      </w:r>
    </w:p>
    <w:p>
      <w:pPr>
        <w:pStyle w:val="Compact"/>
        <w:numPr>
          <w:ilvl w:val="1"/>
          <w:numId w:val="1109"/>
        </w:numPr>
      </w:pPr>
      <w:r>
        <w:rPr>
          <w:rStyle w:val="VerbatimChar"/>
        </w:rPr>
        <w:t xml:space="preserve">Кроме отмеченных</w:t>
      </w:r>
      <w:r>
        <w:t xml:space="preserve"> </w:t>
      </w:r>
      <w:r>
        <w:t xml:space="preserve">- все записи результата, кроме отмеченных.</w:t>
      </w:r>
    </w:p>
    <w:p>
      <w:pPr>
        <w:pStyle w:val="Compact"/>
        <w:numPr>
          <w:ilvl w:val="0"/>
          <w:numId w:val="1108"/>
        </w:numPr>
      </w:pPr>
      <w:r>
        <w:t xml:space="preserve">В поле</w:t>
      </w:r>
      <w:r>
        <w:t xml:space="preserve"> </w:t>
      </w:r>
      <w:r>
        <w:rPr>
          <w:rStyle w:val="VerbatimChar"/>
        </w:rPr>
        <w:t xml:space="preserve">Статистическая форма</w:t>
      </w:r>
      <w:r>
        <w:t xml:space="preserve"> </w:t>
      </w:r>
      <w:r>
        <w:t xml:space="preserve">выберите нужную форму из справочника.</w:t>
      </w:r>
    </w:p>
    <w:p>
      <w:pPr>
        <w:pStyle w:val="Compact"/>
        <w:numPr>
          <w:ilvl w:val="0"/>
          <w:numId w:val="1108"/>
        </w:numPr>
      </w:pPr>
      <w:r>
        <w:t xml:space="preserve">Если выбранная форма требует параметры, заполните появившийся блок</w:t>
      </w:r>
      <w:r>
        <w:t xml:space="preserve"> </w:t>
      </w:r>
      <w:r>
        <w:rPr>
          <w:rStyle w:val="VerbatimChar"/>
        </w:rPr>
        <w:t xml:space="preserve">Параметры</w:t>
      </w:r>
      <w:r>
        <w:t xml:space="preserve">. Это может быть период, вид документа, подразделение или другой фильтр, заданный в рабочем листе формы.</w:t>
      </w:r>
    </w:p>
    <w:p>
      <w:pPr>
        <w:pStyle w:val="Compact"/>
        <w:numPr>
          <w:ilvl w:val="0"/>
          <w:numId w:val="1108"/>
        </w:numPr>
      </w:pPr>
      <w:r>
        <w:t xml:space="preserve">Нажмите</w:t>
      </w:r>
      <w:r>
        <w:t xml:space="preserve"> </w:t>
      </w:r>
      <w:r>
        <w:rPr>
          <w:rStyle w:val="VerbatimChar"/>
        </w:rPr>
        <w:t xml:space="preserve">Ok</w:t>
      </w:r>
      <w:r>
        <w:t xml:space="preserve">.</w:t>
      </w:r>
    </w:p>
    <w:p>
      <w:pPr>
        <w:pStyle w:val="FirstParagraph"/>
      </w:pPr>
      <w:r>
        <w:t xml:space="preserve">Если выбрана обработка всех записей базы без поискового ограничения, система дополнительно просит подтвердить выполнение операции над всей базой.</w:t>
      </w:r>
    </w:p>
    <w:bookmarkEnd w:id="343"/>
    <w:bookmarkStart w:id="344" w:name="результат-7"/>
    <w:p>
      <w:pPr>
        <w:pStyle w:val="Heading3"/>
      </w:pPr>
      <w:r>
        <w:t xml:space="preserve">4. Результат</w:t>
      </w:r>
    </w:p>
    <w:p>
      <w:pPr>
        <w:pStyle w:val="FirstParagraph"/>
      </w:pPr>
      <w:r>
        <w:t xml:space="preserve">После выполнения система формирует файл</w:t>
      </w:r>
      <w:r>
        <w:t xml:space="preserve"> </w:t>
      </w:r>
      <w:r>
        <w:rPr>
          <w:rStyle w:val="VerbatimChar"/>
        </w:rPr>
        <w:t xml:space="preserve">StatFormResult.html</w:t>
      </w:r>
      <w:r>
        <w:t xml:space="preserve"> </w:t>
      </w:r>
      <w:r>
        <w:t xml:space="preserve">и показывает ссылку для его открытия. В файле выводится заголовок формы, таблица распределения по строкам и столбцам, итоги по строкам, итоги по столбцам и общий итог.</w:t>
      </w:r>
    </w:p>
    <w:p>
      <w:pPr>
        <w:pStyle w:val="BodyText"/>
      </w:pPr>
      <w:r>
        <w:t xml:space="preserve">Значения строк и столбцов вычисляются форматами формы. Если формат возвращает значение, которого нет в подключенном справочнике, оно попадает в строку или столбец</w:t>
      </w:r>
      <w:r>
        <w:t xml:space="preserve"> </w:t>
      </w:r>
      <w:r>
        <w:rPr>
          <w:rStyle w:val="VerbatimChar"/>
        </w:rPr>
        <w:t xml:space="preserve">*</w:t>
      </w:r>
      <w:r>
        <w:t xml:space="preserve">, если такой ключ предусмотрен в справочнике.</w:t>
      </w:r>
    </w:p>
    <w:bookmarkEnd w:id="344"/>
    <w:bookmarkStart w:id="346" w:name="настройка-форм"/>
    <w:p>
      <w:pPr>
        <w:pStyle w:val="Heading3"/>
      </w:pPr>
      <w:r>
        <w:t xml:space="preserve">5. Настройка форм</w:t>
      </w:r>
    </w:p>
    <w:p>
      <w:pPr>
        <w:pStyle w:val="FirstParagraph"/>
      </w:pPr>
      <w:r>
        <w:t xml:space="preserve">Список доступных форм обычно берется из справочника</w:t>
      </w:r>
      <w:r>
        <w:t xml:space="preserve"> </w:t>
      </w:r>
      <w:r>
        <w:rPr>
          <w:rStyle w:val="VerbatimChar"/>
        </w:rPr>
        <w:t xml:space="preserve">stf.mnu</w:t>
      </w:r>
      <w:r>
        <w:t xml:space="preserve">. Каждая форма описывается файлом</w:t>
      </w:r>
      <w:r>
        <w:t xml:space="preserve"> </w:t>
      </w:r>
      <w:r>
        <w:rPr>
          <w:rStyle w:val="VerbatimChar"/>
        </w:rPr>
        <w:t xml:space="preserve">.STF</w:t>
      </w:r>
      <w:r>
        <w:t xml:space="preserve"> </w:t>
      </w:r>
      <w:r>
        <w:t xml:space="preserve">в каталоге базы данных. Описание формы задает:</w:t>
      </w:r>
    </w:p>
    <w:p>
      <w:pPr>
        <w:pStyle w:val="Compact"/>
        <w:numPr>
          <w:ilvl w:val="0"/>
          <w:numId w:val="1110"/>
        </w:numPr>
      </w:pPr>
      <w:r>
        <w:t xml:space="preserve">формат для вычисления строки;</w:t>
      </w:r>
    </w:p>
    <w:p>
      <w:pPr>
        <w:pStyle w:val="Compact"/>
        <w:numPr>
          <w:ilvl w:val="0"/>
          <w:numId w:val="1110"/>
        </w:numPr>
      </w:pPr>
      <w:r>
        <w:t xml:space="preserve">справочник строк</w:t>
      </w:r>
      <w:r>
        <w:t xml:space="preserve"> </w:t>
      </w:r>
      <w:r>
        <w:rPr>
          <w:rStyle w:val="VerbatimChar"/>
        </w:rPr>
        <w:t xml:space="preserve">MNU</w:t>
      </w:r>
      <w:r>
        <w:t xml:space="preserve">;</w:t>
      </w:r>
    </w:p>
    <w:p>
      <w:pPr>
        <w:pStyle w:val="Compact"/>
        <w:numPr>
          <w:ilvl w:val="0"/>
          <w:numId w:val="1110"/>
        </w:numPr>
      </w:pPr>
      <w:r>
        <w:t xml:space="preserve">формат для вычисления столбца;</w:t>
      </w:r>
    </w:p>
    <w:p>
      <w:pPr>
        <w:pStyle w:val="Compact"/>
        <w:numPr>
          <w:ilvl w:val="0"/>
          <w:numId w:val="1110"/>
        </w:numPr>
      </w:pPr>
      <w:r>
        <w:t xml:space="preserve">справочник столбцов</w:t>
      </w:r>
      <w:r>
        <w:t xml:space="preserve"> </w:t>
      </w:r>
      <w:r>
        <w:rPr>
          <w:rStyle w:val="VerbatimChar"/>
        </w:rPr>
        <w:t xml:space="preserve">MNU</w:t>
      </w:r>
      <w:r>
        <w:t xml:space="preserve">;</w:t>
      </w:r>
    </w:p>
    <w:p>
      <w:pPr>
        <w:pStyle w:val="Compact"/>
        <w:numPr>
          <w:ilvl w:val="0"/>
          <w:numId w:val="1110"/>
        </w:numPr>
      </w:pPr>
      <w:r>
        <w:t xml:space="preserve">рабочий лист</w:t>
      </w:r>
      <w:r>
        <w:t xml:space="preserve"> </w:t>
      </w:r>
      <w:r>
        <w:rPr>
          <w:rStyle w:val="VerbatimChar"/>
        </w:rPr>
        <w:t xml:space="preserve">WSS</w:t>
      </w:r>
      <w:r>
        <w:t xml:space="preserve"> </w:t>
      </w:r>
      <w:r>
        <w:t xml:space="preserve">для параметров, если они нужны;</w:t>
      </w:r>
    </w:p>
    <w:p>
      <w:pPr>
        <w:pStyle w:val="Compact"/>
        <w:numPr>
          <w:ilvl w:val="0"/>
          <w:numId w:val="1110"/>
        </w:numPr>
      </w:pPr>
      <w:r>
        <w:t xml:space="preserve">формат заголовка результата.</w:t>
      </w:r>
    </w:p>
    <w:p>
      <w:pPr>
        <w:pStyle w:val="FirstParagraph"/>
      </w:pPr>
      <w:r>
        <w:t xml:space="preserve">Технические детали формата</w:t>
      </w:r>
      <w:r>
        <w:t xml:space="preserve"> </w:t>
      </w:r>
      <w:r>
        <w:rPr>
          <w:rStyle w:val="VerbatimChar"/>
        </w:rPr>
        <w:t xml:space="preserve">.STF</w:t>
      </w:r>
      <w:r>
        <w:t xml:space="preserve">, требования к справочникам и обработку ключа</w:t>
      </w:r>
      <w:r>
        <w:t xml:space="preserve"> </w:t>
      </w:r>
      <w:r>
        <w:rPr>
          <w:rStyle w:val="VerbatimChar"/>
        </w:rPr>
        <w:t xml:space="preserve">*</w:t>
      </w:r>
      <w:r>
        <w:t xml:space="preserve"> </w:t>
      </w:r>
      <w:r>
        <w:t xml:space="preserve">см. в разделе</w:t>
      </w:r>
      <w:r>
        <w:t xml:space="preserve"> </w:t>
      </w:r>
      <w:hyperlink r:id="rId345">
        <w:r>
          <w:rPr>
            <w:rStyle w:val="Hyperlink"/>
          </w:rPr>
          <w:t xml:space="preserve">Статистические формы</w:t>
        </w:r>
      </w:hyperlink>
      <w:r>
        <w:t xml:space="preserve">.</w:t>
      </w:r>
    </w:p>
    <w:bookmarkEnd w:id="346"/>
    <w:bookmarkStart w:id="347" w:name="отличие-от-выходных-форм"/>
    <w:p>
      <w:pPr>
        <w:pStyle w:val="Heading3"/>
      </w:pPr>
      <w:r>
        <w:t xml:space="preserve">6. Отличие от выходных форм</w:t>
      </w:r>
    </w:p>
    <w:p>
      <w:pPr>
        <w:pStyle w:val="FirstParagraph"/>
      </w:pPr>
      <w:r>
        <w:rPr>
          <w:rStyle w:val="VerbatimChar"/>
        </w:rPr>
        <w:t xml:space="preserve">Статистические формы</w:t>
      </w:r>
      <w:r>
        <w:t xml:space="preserve"> </w:t>
      </w:r>
      <w:r>
        <w:t xml:space="preserve">строят сводную таблицу по группе записей.</w:t>
      </w:r>
      <w:r>
        <w:t xml:space="preserve"> </w:t>
      </w:r>
      <w:r>
        <w:rPr>
          <w:rStyle w:val="VerbatimChar"/>
        </w:rPr>
        <w:t xml:space="preserve">Выходные формы</w:t>
      </w:r>
      <w:r>
        <w:t xml:space="preserve"> </w:t>
      </w:r>
      <w:r>
        <w:t xml:space="preserve">выводят сами записи в выбранном представлении. Если нужно напечатать список найденных документов, используйте</w:t>
      </w:r>
      <w:r>
        <w:t xml:space="preserve"> </w:t>
      </w:r>
      <w:hyperlink r:id="rId185">
        <w:r>
          <w:rPr>
            <w:rStyle w:val="Hyperlink"/>
          </w:rPr>
          <w:t xml:space="preserve">вывод записей на печать</w:t>
        </w:r>
      </w:hyperlink>
      <w:r>
        <w:t xml:space="preserve"> </w:t>
      </w:r>
      <w:r>
        <w:t xml:space="preserve">или выходные формы.</w:t>
      </w:r>
    </w:p>
    <w:bookmarkEnd w:id="347"/>
    <w:bookmarkEnd w:id="348"/>
    <w:bookmarkStart w:id="361" w:name="Xa3695e10ba616049aa9cb739eb50b07e024b1d1"/>
    <w:p>
      <w:pPr>
        <w:pStyle w:val="Heading2"/>
      </w:pPr>
      <w:r>
        <w:t xml:space="preserve">Экспорт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349" w:name="назначение-6"/>
    <w:p>
      <w:pPr>
        <w:pStyle w:val="Heading3"/>
      </w:pPr>
      <w:r>
        <w:t xml:space="preserve">1. Назначение</w:t>
      </w:r>
    </w:p>
    <w:p>
      <w:pPr>
        <w:pStyle w:val="FirstParagraph"/>
      </w:pPr>
      <w:r>
        <w:t xml:space="preserve">Сценарий используется для выгрузки выбранных записей из базы данных электронного каталога в файл выбранного формата.</w:t>
      </w:r>
    </w:p>
    <w:bookmarkEnd w:id="349"/>
    <w:bookmarkStart w:id="359" w:name="порядок-действий-7"/>
    <w:p>
      <w:pPr>
        <w:pStyle w:val="Heading3"/>
      </w:pPr>
      <w:r>
        <w:t xml:space="preserve">2. Порядок действий</w:t>
      </w:r>
    </w:p>
    <w:p>
      <w:pPr>
        <w:pStyle w:val="Compact"/>
        <w:numPr>
          <w:ilvl w:val="0"/>
          <w:numId w:val="1111"/>
        </w:numPr>
      </w:pPr>
      <w:r>
        <w:t xml:space="preserve">В области поиска найдите запись или несколько записей, которые нужно экспортировать.</w:t>
      </w:r>
    </w:p>
    <w:p>
      <w:pPr>
        <w:pStyle w:val="Compact"/>
        <w:numPr>
          <w:ilvl w:val="0"/>
          <w:numId w:val="1111"/>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11"/>
        </w:numPr>
      </w:pPr>
      <w:r>
        <w:t xml:space="preserve">На панели инструментов нажмите кнопку</w:t>
      </w:r>
      <w:r>
        <w:t xml:space="preserve"> </w:t>
      </w:r>
      <w:r>
        <w:rPr>
          <w:rStyle w:val="VerbatimChar"/>
        </w:rPr>
        <w:t xml:space="preserve">Экспортировать записи</w:t>
      </w:r>
      <w:r>
        <w:t xml:space="preserve">.</w:t>
      </w:r>
    </w:p>
    <w:p>
      <w:pPr>
        <w:pStyle w:val="CaptionedFigure"/>
      </w:pPr>
      <w:r>
        <w:drawing>
          <wp:inline>
            <wp:extent cx="5334000" cy="2335039"/>
            <wp:effectExtent b="0" l="0" r="0" t="0"/>
            <wp:docPr descr="Выбор записей для экспорта" title="" id="351" name="Picture"/>
            <a:graphic>
              <a:graphicData uri="http://schemas.openxmlformats.org/drawingml/2006/picture">
                <pic:pic>
                  <pic:nvPicPr>
                    <pic:cNvPr descr="modules/Cataloguer/Help/CataloguerGuide/ExportRecords01.png" id="352" name="Picture"/>
                    <pic:cNvPicPr>
                      <a:picLocks noChangeArrowheads="1" noChangeAspect="1"/>
                    </pic:cNvPicPr>
                  </pic:nvPicPr>
                  <pic:blipFill>
                    <a:blip r:embed="rId350"/>
                    <a:stretch>
                      <a:fillRect/>
                    </a:stretch>
                  </pic:blipFill>
                  <pic:spPr bwMode="auto">
                    <a:xfrm>
                      <a:off x="0" y="0"/>
                      <a:ext cx="5334000" cy="2335039"/>
                    </a:xfrm>
                    <a:prstGeom prst="rect">
                      <a:avLst/>
                    </a:prstGeom>
                    <a:noFill/>
                    <a:ln w="9525">
                      <a:noFill/>
                      <a:headEnd/>
                      <a:tailEnd/>
                    </a:ln>
                  </pic:spPr>
                </pic:pic>
              </a:graphicData>
            </a:graphic>
          </wp:inline>
        </w:drawing>
      </w:r>
    </w:p>
    <w:p>
      <w:pPr>
        <w:pStyle w:val="ImageCaption"/>
      </w:pPr>
      <w:r>
        <w:t xml:space="preserve">Выбор записей для экспорта</w:t>
      </w:r>
    </w:p>
    <w:p>
      <w:pPr>
        <w:pStyle w:val="Compact"/>
        <w:numPr>
          <w:ilvl w:val="0"/>
          <w:numId w:val="1112"/>
        </w:numPr>
      </w:pPr>
      <w:r>
        <w:t xml:space="preserve">В окне подтверждения проверьте список записей и выберите формат экспорта.</w:t>
      </w:r>
    </w:p>
    <w:p>
      <w:pPr>
        <w:pStyle w:val="Compact"/>
        <w:numPr>
          <w:ilvl w:val="0"/>
          <w:numId w:val="1112"/>
        </w:numPr>
      </w:pPr>
      <w:r>
        <w:t xml:space="preserve">Нажмите</w:t>
      </w:r>
      <w:r>
        <w:t xml:space="preserve"> </w:t>
      </w:r>
      <w:r>
        <w:rPr>
          <w:rStyle w:val="VerbatimChar"/>
        </w:rPr>
        <w:t xml:space="preserve">Ok</w:t>
      </w:r>
      <w:r>
        <w:t xml:space="preserve">.</w:t>
      </w:r>
    </w:p>
    <w:p>
      <w:pPr>
        <w:pStyle w:val="CaptionedFigure"/>
      </w:pPr>
      <w:r>
        <w:drawing>
          <wp:inline>
            <wp:extent cx="5334000" cy="2372106"/>
            <wp:effectExtent b="0" l="0" r="0" t="0"/>
            <wp:docPr descr="Подтверждение экспорта и выбор формата" title="" id="354" name="Picture"/>
            <a:graphic>
              <a:graphicData uri="http://schemas.openxmlformats.org/drawingml/2006/picture">
                <pic:pic>
                  <pic:nvPicPr>
                    <pic:cNvPr descr="modules/Cataloguer/Help/CataloguerGuide/ExportRecords02.png" id="355" name="Picture"/>
                    <pic:cNvPicPr>
                      <a:picLocks noChangeArrowheads="1" noChangeAspect="1"/>
                    </pic:cNvPicPr>
                  </pic:nvPicPr>
                  <pic:blipFill>
                    <a:blip r:embed="rId353"/>
                    <a:stretch>
                      <a:fillRect/>
                    </a:stretch>
                  </pic:blipFill>
                  <pic:spPr bwMode="auto">
                    <a:xfrm>
                      <a:off x="0" y="0"/>
                      <a:ext cx="5334000" cy="2372106"/>
                    </a:xfrm>
                    <a:prstGeom prst="rect">
                      <a:avLst/>
                    </a:prstGeom>
                    <a:noFill/>
                    <a:ln w="9525">
                      <a:noFill/>
                      <a:headEnd/>
                      <a:tailEnd/>
                    </a:ln>
                  </pic:spPr>
                </pic:pic>
              </a:graphicData>
            </a:graphic>
          </wp:inline>
        </w:drawing>
      </w:r>
    </w:p>
    <w:p>
      <w:pPr>
        <w:pStyle w:val="ImageCaption"/>
      </w:pPr>
      <w:r>
        <w:t xml:space="preserve">Подтверждение экспорта и выбор формата</w:t>
      </w:r>
    </w:p>
    <w:p>
      <w:pPr>
        <w:pStyle w:val="Compact"/>
        <w:numPr>
          <w:ilvl w:val="0"/>
          <w:numId w:val="1113"/>
        </w:numPr>
      </w:pPr>
      <w:r>
        <w:t xml:space="preserve">В окне сохранения выберите папку и укажите имя файла экспорта.</w:t>
      </w:r>
    </w:p>
    <w:p>
      <w:pPr>
        <w:pStyle w:val="CaptionedFigure"/>
      </w:pPr>
      <w:r>
        <w:drawing>
          <wp:inline>
            <wp:extent cx="5334000" cy="3332753"/>
            <wp:effectExtent b="0" l="0" r="0" t="0"/>
            <wp:docPr descr="Выбор места сохранения файла экспорта" title="" id="357" name="Picture"/>
            <a:graphic>
              <a:graphicData uri="http://schemas.openxmlformats.org/drawingml/2006/picture">
                <pic:pic>
                  <pic:nvPicPr>
                    <pic:cNvPr descr="modules/Cataloguer/Help/CataloguerGuide/ExportRecords03.png" id="358" name="Picture"/>
                    <pic:cNvPicPr>
                      <a:picLocks noChangeArrowheads="1" noChangeAspect="1"/>
                    </pic:cNvPicPr>
                  </pic:nvPicPr>
                  <pic:blipFill>
                    <a:blip r:embed="rId356"/>
                    <a:stretch>
                      <a:fillRect/>
                    </a:stretch>
                  </pic:blipFill>
                  <pic:spPr bwMode="auto">
                    <a:xfrm>
                      <a:off x="0" y="0"/>
                      <a:ext cx="5334000" cy="3332753"/>
                    </a:xfrm>
                    <a:prstGeom prst="rect">
                      <a:avLst/>
                    </a:prstGeom>
                    <a:noFill/>
                    <a:ln w="9525">
                      <a:noFill/>
                      <a:headEnd/>
                      <a:tailEnd/>
                    </a:ln>
                  </pic:spPr>
                </pic:pic>
              </a:graphicData>
            </a:graphic>
          </wp:inline>
        </w:drawing>
      </w:r>
    </w:p>
    <w:p>
      <w:pPr>
        <w:pStyle w:val="ImageCaption"/>
      </w:pPr>
      <w:r>
        <w:t xml:space="preserve">Выбор места сохранения файла экспорта</w:t>
      </w:r>
    </w:p>
    <w:bookmarkEnd w:id="359"/>
    <w:bookmarkStart w:id="360" w:name="результат-8"/>
    <w:p>
      <w:pPr>
        <w:pStyle w:val="Heading3"/>
      </w:pPr>
      <w:r>
        <w:t xml:space="preserve">3. Результат</w:t>
      </w:r>
    </w:p>
    <w:p>
      <w:pPr>
        <w:pStyle w:val="FirstParagraph"/>
      </w:pPr>
      <w:r>
        <w:t xml:space="preserve">Система формирует файл выгрузки в выбранном формате.</w:t>
      </w:r>
    </w:p>
    <w:bookmarkEnd w:id="360"/>
    <w:bookmarkEnd w:id="361"/>
    <w:bookmarkStart w:id="390" w:name="форматы-выгрузки-и-конвертации-записей"/>
    <w:p>
      <w:pPr>
        <w:pStyle w:val="Heading2"/>
      </w:pPr>
      <w:r>
        <w:t xml:space="preserve">Форматы выгрузки и конвертации записей</w:t>
      </w:r>
    </w:p>
    <w:p>
      <w:pPr>
        <w:pStyle w:val="FirstParagraph"/>
      </w:pPr>
      <w:r>
        <w:t xml:space="preserve">Раздел подготовлен по материалам старого документа «АРМ Каталогизатор 128».</w:t>
      </w:r>
    </w:p>
    <w:bookmarkStart w:id="363" w:name="назначение-7"/>
    <w:p>
      <w:pPr>
        <w:pStyle w:val="Heading3"/>
      </w:pPr>
      <w:r>
        <w:t xml:space="preserve">1. Назначение</w:t>
      </w:r>
    </w:p>
    <w:p>
      <w:pPr>
        <w:pStyle w:val="FirstParagraph"/>
      </w:pPr>
      <w:r>
        <w:t xml:space="preserve">Страница дополняет общий сценарий</w:t>
      </w:r>
      <w:r>
        <w:t xml:space="preserve"> </w:t>
      </w:r>
      <w:hyperlink r:id="rId362">
        <w:r>
          <w:rPr>
            <w:rStyle w:val="Hyperlink"/>
          </w:rPr>
          <w:t xml:space="preserve">экспорта записей</w:t>
        </w:r>
      </w:hyperlink>
      <w:r>
        <w:t xml:space="preserve"> </w:t>
      </w:r>
      <w:r>
        <w:t xml:space="preserve">и описывает выбор формата выгрузки или кодировки.</w:t>
      </w:r>
    </w:p>
    <w:bookmarkEnd w:id="363"/>
    <w:bookmarkStart w:id="364" w:name="общий-порядок-действий"/>
    <w:p>
      <w:pPr>
        <w:pStyle w:val="Heading3"/>
      </w:pPr>
      <w:r>
        <w:t xml:space="preserve">2. Общий порядок действий</w:t>
      </w:r>
    </w:p>
    <w:p>
      <w:pPr>
        <w:pStyle w:val="Compact"/>
        <w:numPr>
          <w:ilvl w:val="0"/>
          <w:numId w:val="1114"/>
        </w:numPr>
      </w:pPr>
      <w:r>
        <w:t xml:space="preserve">Найдите и отметьте записи, которые нужно выгрузить.</w:t>
      </w:r>
    </w:p>
    <w:p>
      <w:pPr>
        <w:pStyle w:val="Compact"/>
        <w:numPr>
          <w:ilvl w:val="0"/>
          <w:numId w:val="1114"/>
        </w:numPr>
      </w:pPr>
      <w:r>
        <w:t xml:space="preserve">Нажмите кнопку</w:t>
      </w:r>
      <w:r>
        <w:t xml:space="preserve"> </w:t>
      </w:r>
      <w:r>
        <w:rPr>
          <w:rStyle w:val="VerbatimChar"/>
        </w:rPr>
        <w:t xml:space="preserve">Экспортировать записи</w:t>
      </w:r>
      <w:r>
        <w:t xml:space="preserve">.</w:t>
      </w:r>
    </w:p>
    <w:p>
      <w:pPr>
        <w:pStyle w:val="Compact"/>
        <w:numPr>
          <w:ilvl w:val="0"/>
          <w:numId w:val="1114"/>
        </w:numPr>
      </w:pPr>
      <w:r>
        <w:t xml:space="preserve">В окне подтверждения выберите нужный формат или кодировку.</w:t>
      </w:r>
    </w:p>
    <w:p>
      <w:pPr>
        <w:pStyle w:val="Compact"/>
        <w:numPr>
          <w:ilvl w:val="0"/>
          <w:numId w:val="1114"/>
        </w:numPr>
      </w:pPr>
      <w:r>
        <w:t xml:space="preserve">Нажмите</w:t>
      </w:r>
      <w:r>
        <w:t xml:space="preserve"> </w:t>
      </w:r>
      <w:r>
        <w:rPr>
          <w:rStyle w:val="VerbatimChar"/>
        </w:rPr>
        <w:t xml:space="preserve">Ok</w:t>
      </w:r>
      <w:r>
        <w:t xml:space="preserve">.</w:t>
      </w:r>
    </w:p>
    <w:p>
      <w:pPr>
        <w:pStyle w:val="Compact"/>
        <w:numPr>
          <w:ilvl w:val="0"/>
          <w:numId w:val="1114"/>
        </w:numPr>
      </w:pPr>
      <w:r>
        <w:t xml:space="preserve">Выберите место сохранения и имя файла выгрузки.</w:t>
      </w:r>
    </w:p>
    <w:bookmarkEnd w:id="364"/>
    <w:bookmarkStart w:id="368" w:name="преобразование-в-формат-rusmarc"/>
    <w:p>
      <w:pPr>
        <w:pStyle w:val="Heading3"/>
      </w:pPr>
      <w:r>
        <w:t xml:space="preserve">3. Преобразование в формат RUSMARC</w:t>
      </w:r>
    </w:p>
    <w:p>
      <w:pPr>
        <w:pStyle w:val="FirstParagraph"/>
      </w:pPr>
      <w:r>
        <w:t xml:space="preserve">Для конвертации выберите ТВП</w:t>
      </w:r>
      <w:r>
        <w:t xml:space="preserve"> </w:t>
      </w:r>
      <w:r>
        <w:rPr>
          <w:rStyle w:val="VerbatimChar"/>
        </w:rPr>
        <w:t xml:space="preserve">Преобразование в формат RUSMARC (WINDOWS-версия)</w:t>
      </w:r>
      <w:r>
        <w:t xml:space="preserve">.</w:t>
      </w:r>
    </w:p>
    <w:p>
      <w:pPr>
        <w:pStyle w:val="CaptionedFigure"/>
      </w:pPr>
      <w:r>
        <w:drawing>
          <wp:inline>
            <wp:extent cx="5334000" cy="2418080"/>
            <wp:effectExtent b="0" l="0" r="0" t="0"/>
            <wp:docPr descr="Выбор преобразования в формат RUSMARC" title="" id="366" name="Picture"/>
            <a:graphic>
              <a:graphicData uri="http://schemas.openxmlformats.org/drawingml/2006/picture">
                <pic:pic>
                  <pic:nvPicPr>
                    <pic:cNvPr descr="modules/Cataloguer/Help/CataloguerGuide/ExportFormats01.png" id="367" name="Picture"/>
                    <pic:cNvPicPr>
                      <a:picLocks noChangeArrowheads="1" noChangeAspect="1"/>
                    </pic:cNvPicPr>
                  </pic:nvPicPr>
                  <pic:blipFill>
                    <a:blip r:embed="rId365"/>
                    <a:stretch>
                      <a:fillRect/>
                    </a:stretch>
                  </pic:blipFill>
                  <pic:spPr bwMode="auto">
                    <a:xfrm>
                      <a:off x="0" y="0"/>
                      <a:ext cx="5334000" cy="2418080"/>
                    </a:xfrm>
                    <a:prstGeom prst="rect">
                      <a:avLst/>
                    </a:prstGeom>
                    <a:noFill/>
                    <a:ln w="9525">
                      <a:noFill/>
                      <a:headEnd/>
                      <a:tailEnd/>
                    </a:ln>
                  </pic:spPr>
                </pic:pic>
              </a:graphicData>
            </a:graphic>
          </wp:inline>
        </w:drawing>
      </w:r>
    </w:p>
    <w:p>
      <w:pPr>
        <w:pStyle w:val="ImageCaption"/>
      </w:pPr>
      <w:r>
        <w:t xml:space="preserve">Выбор преобразования в формат RUSMARC</w:t>
      </w:r>
    </w:p>
    <w:bookmarkEnd w:id="368"/>
    <w:bookmarkStart w:id="372" w:name="текстовый-формат"/>
    <w:p>
      <w:pPr>
        <w:pStyle w:val="Heading3"/>
      </w:pPr>
      <w:r>
        <w:t xml:space="preserve">4. Текстовый формат</w:t>
      </w:r>
    </w:p>
    <w:p>
      <w:pPr>
        <w:pStyle w:val="FirstParagraph"/>
      </w:pPr>
      <w:r>
        <w:t xml:space="preserve">Для выгрузки в текстовом виде выберите формат записи</w:t>
      </w:r>
      <w:r>
        <w:t xml:space="preserve"> </w:t>
      </w:r>
      <w:r>
        <w:rPr>
          <w:rStyle w:val="VerbatimChar"/>
        </w:rPr>
        <w:t xml:space="preserve">Текстовый</w:t>
      </w:r>
      <w:r>
        <w:t xml:space="preserve">.</w:t>
      </w:r>
    </w:p>
    <w:p>
      <w:pPr>
        <w:pStyle w:val="CaptionedFigure"/>
      </w:pPr>
      <w:r>
        <w:drawing>
          <wp:inline>
            <wp:extent cx="5334000" cy="2396744"/>
            <wp:effectExtent b="0" l="0" r="0" t="0"/>
            <wp:docPr descr="Выбор текстового формата" title="" id="370" name="Picture"/>
            <a:graphic>
              <a:graphicData uri="http://schemas.openxmlformats.org/drawingml/2006/picture">
                <pic:pic>
                  <pic:nvPicPr>
                    <pic:cNvPr descr="modules/Cataloguer/Help/CataloguerGuide/ExportFormats02.png" id="371" name="Picture"/>
                    <pic:cNvPicPr>
                      <a:picLocks noChangeArrowheads="1" noChangeAspect="1"/>
                    </pic:cNvPicPr>
                  </pic:nvPicPr>
                  <pic:blipFill>
                    <a:blip r:embed="rId369"/>
                    <a:stretch>
                      <a:fillRect/>
                    </a:stretch>
                  </pic:blipFill>
                  <pic:spPr bwMode="auto">
                    <a:xfrm>
                      <a:off x="0" y="0"/>
                      <a:ext cx="5334000" cy="2396744"/>
                    </a:xfrm>
                    <a:prstGeom prst="rect">
                      <a:avLst/>
                    </a:prstGeom>
                    <a:noFill/>
                    <a:ln w="9525">
                      <a:noFill/>
                      <a:headEnd/>
                      <a:tailEnd/>
                    </a:ln>
                  </pic:spPr>
                </pic:pic>
              </a:graphicData>
            </a:graphic>
          </wp:inline>
        </w:drawing>
      </w:r>
    </w:p>
    <w:p>
      <w:pPr>
        <w:pStyle w:val="ImageCaption"/>
      </w:pPr>
      <w:r>
        <w:t xml:space="preserve">Выбор текстового формата</w:t>
      </w:r>
    </w:p>
    <w:bookmarkEnd w:id="372"/>
    <w:bookmarkStart w:id="376" w:name="iso-2709"/>
    <w:p>
      <w:pPr>
        <w:pStyle w:val="Heading3"/>
      </w:pPr>
      <w:r>
        <w:t xml:space="preserve">5. ISO 2709</w:t>
      </w:r>
    </w:p>
    <w:p>
      <w:pPr>
        <w:pStyle w:val="FirstParagraph"/>
      </w:pPr>
      <w:r>
        <w:t xml:space="preserve">Для выгрузки в ISO 2709 выберите формат записи</w:t>
      </w:r>
      <w:r>
        <w:t xml:space="preserve"> </w:t>
      </w:r>
      <w:r>
        <w:rPr>
          <w:rStyle w:val="VerbatimChar"/>
        </w:rPr>
        <w:t xml:space="preserve">ISO 2709</w:t>
      </w:r>
      <w:r>
        <w:t xml:space="preserve">.</w:t>
      </w:r>
    </w:p>
    <w:p>
      <w:pPr>
        <w:pStyle w:val="CaptionedFigure"/>
      </w:pPr>
      <w:r>
        <w:drawing>
          <wp:inline>
            <wp:extent cx="5334000" cy="2400655"/>
            <wp:effectExtent b="0" l="0" r="0" t="0"/>
            <wp:docPr descr="Выбор формата ISO 2709" title="" id="374" name="Picture"/>
            <a:graphic>
              <a:graphicData uri="http://schemas.openxmlformats.org/drawingml/2006/picture">
                <pic:pic>
                  <pic:nvPicPr>
                    <pic:cNvPr descr="modules/Cataloguer/Help/CataloguerGuide/ExportFormats03.png" id="375" name="Picture"/>
                    <pic:cNvPicPr>
                      <a:picLocks noChangeArrowheads="1" noChangeAspect="1"/>
                    </pic:cNvPicPr>
                  </pic:nvPicPr>
                  <pic:blipFill>
                    <a:blip r:embed="rId373"/>
                    <a:stretch>
                      <a:fillRect/>
                    </a:stretch>
                  </pic:blipFill>
                  <pic:spPr bwMode="auto">
                    <a:xfrm>
                      <a:off x="0" y="0"/>
                      <a:ext cx="5334000" cy="2400655"/>
                    </a:xfrm>
                    <a:prstGeom prst="rect">
                      <a:avLst/>
                    </a:prstGeom>
                    <a:noFill/>
                    <a:ln w="9525">
                      <a:noFill/>
                      <a:headEnd/>
                      <a:tailEnd/>
                    </a:ln>
                  </pic:spPr>
                </pic:pic>
              </a:graphicData>
            </a:graphic>
          </wp:inline>
        </w:drawing>
      </w:r>
    </w:p>
    <w:p>
      <w:pPr>
        <w:pStyle w:val="ImageCaption"/>
      </w:pPr>
      <w:r>
        <w:t xml:space="preserve">Выбор формата ISO 2709</w:t>
      </w:r>
    </w:p>
    <w:bookmarkEnd w:id="376"/>
    <w:bookmarkStart w:id="380" w:name="xml"/>
    <w:p>
      <w:pPr>
        <w:pStyle w:val="Heading3"/>
      </w:pPr>
      <w:r>
        <w:t xml:space="preserve">6. XML</w:t>
      </w:r>
    </w:p>
    <w:p>
      <w:pPr>
        <w:pStyle w:val="FirstParagraph"/>
      </w:pPr>
      <w:r>
        <w:t xml:space="preserve">Для выгрузки в XML выберите формат записи</w:t>
      </w:r>
      <w:r>
        <w:t xml:space="preserve"> </w:t>
      </w:r>
      <w:r>
        <w:rPr>
          <w:rStyle w:val="VerbatimChar"/>
        </w:rPr>
        <w:t xml:space="preserve">XML</w:t>
      </w:r>
      <w:r>
        <w:t xml:space="preserve">.</w:t>
      </w:r>
    </w:p>
    <w:p>
      <w:pPr>
        <w:pStyle w:val="CaptionedFigure"/>
      </w:pPr>
      <w:r>
        <w:drawing>
          <wp:inline>
            <wp:extent cx="5334000" cy="2404555"/>
            <wp:effectExtent b="0" l="0" r="0" t="0"/>
            <wp:docPr descr="Выбор формата XML" title="" id="378" name="Picture"/>
            <a:graphic>
              <a:graphicData uri="http://schemas.openxmlformats.org/drawingml/2006/picture">
                <pic:pic>
                  <pic:nvPicPr>
                    <pic:cNvPr descr="modules/Cataloguer/Help/CataloguerGuide/ExportFormats04.png" id="379" name="Picture"/>
                    <pic:cNvPicPr>
                      <a:picLocks noChangeArrowheads="1" noChangeAspect="1"/>
                    </pic:cNvPicPr>
                  </pic:nvPicPr>
                  <pic:blipFill>
                    <a:blip r:embed="rId377"/>
                    <a:stretch>
                      <a:fillRect/>
                    </a:stretch>
                  </pic:blipFill>
                  <pic:spPr bwMode="auto">
                    <a:xfrm>
                      <a:off x="0" y="0"/>
                      <a:ext cx="5334000" cy="2404555"/>
                    </a:xfrm>
                    <a:prstGeom prst="rect">
                      <a:avLst/>
                    </a:prstGeom>
                    <a:noFill/>
                    <a:ln w="9525">
                      <a:noFill/>
                      <a:headEnd/>
                      <a:tailEnd/>
                    </a:ln>
                  </pic:spPr>
                </pic:pic>
              </a:graphicData>
            </a:graphic>
          </wp:inline>
        </w:drawing>
      </w:r>
    </w:p>
    <w:p>
      <w:pPr>
        <w:pStyle w:val="ImageCaption"/>
      </w:pPr>
      <w:r>
        <w:t xml:space="preserve">Выбор формата XML</w:t>
      </w:r>
    </w:p>
    <w:bookmarkEnd w:id="380"/>
    <w:bookmarkStart w:id="384" w:name="windows-1251"/>
    <w:p>
      <w:pPr>
        <w:pStyle w:val="Heading3"/>
      </w:pPr>
      <w:r>
        <w:t xml:space="preserve">7. Windows-1251</w:t>
      </w:r>
    </w:p>
    <w:p>
      <w:pPr>
        <w:pStyle w:val="FirstParagraph"/>
      </w:pPr>
      <w:r>
        <w:t xml:space="preserve">Для выгрузки в кодировке Windows-1251 выберите кодировку</w:t>
      </w:r>
      <w:r>
        <w:t xml:space="preserve"> </w:t>
      </w:r>
      <w:r>
        <w:rPr>
          <w:rStyle w:val="VerbatimChar"/>
        </w:rPr>
        <w:t xml:space="preserve">Windows-1251</w:t>
      </w:r>
      <w:r>
        <w:t xml:space="preserve">.</w:t>
      </w:r>
    </w:p>
    <w:p>
      <w:pPr>
        <w:pStyle w:val="CaptionedFigure"/>
      </w:pPr>
      <w:r>
        <w:drawing>
          <wp:inline>
            <wp:extent cx="5334000" cy="2393552"/>
            <wp:effectExtent b="0" l="0" r="0" t="0"/>
            <wp:docPr descr="Выбор кодировки Windows-1251" title="" id="382" name="Picture"/>
            <a:graphic>
              <a:graphicData uri="http://schemas.openxmlformats.org/drawingml/2006/picture">
                <pic:pic>
                  <pic:nvPicPr>
                    <pic:cNvPr descr="modules/Cataloguer/Help/CataloguerGuide/ExportFormats05.png" id="383" name="Picture"/>
                    <pic:cNvPicPr>
                      <a:picLocks noChangeArrowheads="1" noChangeAspect="1"/>
                    </pic:cNvPicPr>
                  </pic:nvPicPr>
                  <pic:blipFill>
                    <a:blip r:embed="rId381"/>
                    <a:stretch>
                      <a:fillRect/>
                    </a:stretch>
                  </pic:blipFill>
                  <pic:spPr bwMode="auto">
                    <a:xfrm>
                      <a:off x="0" y="0"/>
                      <a:ext cx="5334000" cy="2393552"/>
                    </a:xfrm>
                    <a:prstGeom prst="rect">
                      <a:avLst/>
                    </a:prstGeom>
                    <a:noFill/>
                    <a:ln w="9525">
                      <a:noFill/>
                      <a:headEnd/>
                      <a:tailEnd/>
                    </a:ln>
                  </pic:spPr>
                </pic:pic>
              </a:graphicData>
            </a:graphic>
          </wp:inline>
        </w:drawing>
      </w:r>
    </w:p>
    <w:p>
      <w:pPr>
        <w:pStyle w:val="ImageCaption"/>
      </w:pPr>
      <w:r>
        <w:t xml:space="preserve">Выбор кодировки Windows-1251</w:t>
      </w:r>
    </w:p>
    <w:bookmarkEnd w:id="384"/>
    <w:bookmarkStart w:id="388" w:name="cp-866"/>
    <w:p>
      <w:pPr>
        <w:pStyle w:val="Heading3"/>
      </w:pPr>
      <w:r>
        <w:t xml:space="preserve">8. CP-866</w:t>
      </w:r>
    </w:p>
    <w:p>
      <w:pPr>
        <w:pStyle w:val="FirstParagraph"/>
      </w:pPr>
      <w:r>
        <w:t xml:space="preserve">Для выгрузки в кодировке CP-866 выберите кодировку</w:t>
      </w:r>
      <w:r>
        <w:t xml:space="preserve"> </w:t>
      </w:r>
      <w:r>
        <w:rPr>
          <w:rStyle w:val="VerbatimChar"/>
        </w:rPr>
        <w:t xml:space="preserve">CP 866 (DOS)</w:t>
      </w:r>
      <w:r>
        <w:t xml:space="preserve">.</w:t>
      </w:r>
    </w:p>
    <w:p>
      <w:pPr>
        <w:pStyle w:val="CaptionedFigure"/>
      </w:pPr>
      <w:r>
        <w:drawing>
          <wp:inline>
            <wp:extent cx="5334000" cy="2410968"/>
            <wp:effectExtent b="0" l="0" r="0" t="0"/>
            <wp:docPr descr="Выбор кодировки CP-866" title="" id="386" name="Picture"/>
            <a:graphic>
              <a:graphicData uri="http://schemas.openxmlformats.org/drawingml/2006/picture">
                <pic:pic>
                  <pic:nvPicPr>
                    <pic:cNvPr descr="modules/Cataloguer/Help/CataloguerGuide/ExportFormats06.png" id="387" name="Picture"/>
                    <pic:cNvPicPr>
                      <a:picLocks noChangeArrowheads="1" noChangeAspect="1"/>
                    </pic:cNvPicPr>
                  </pic:nvPicPr>
                  <pic:blipFill>
                    <a:blip r:embed="rId385"/>
                    <a:stretch>
                      <a:fillRect/>
                    </a:stretch>
                  </pic:blipFill>
                  <pic:spPr bwMode="auto">
                    <a:xfrm>
                      <a:off x="0" y="0"/>
                      <a:ext cx="5334000" cy="2410968"/>
                    </a:xfrm>
                    <a:prstGeom prst="rect">
                      <a:avLst/>
                    </a:prstGeom>
                    <a:noFill/>
                    <a:ln w="9525">
                      <a:noFill/>
                      <a:headEnd/>
                      <a:tailEnd/>
                    </a:ln>
                  </pic:spPr>
                </pic:pic>
              </a:graphicData>
            </a:graphic>
          </wp:inline>
        </w:drawing>
      </w:r>
    </w:p>
    <w:p>
      <w:pPr>
        <w:pStyle w:val="ImageCaption"/>
      </w:pPr>
      <w:r>
        <w:t xml:space="preserve">Выбор кодировки CP-866</w:t>
      </w:r>
    </w:p>
    <w:bookmarkEnd w:id="388"/>
    <w:bookmarkStart w:id="389" w:name="результат-9"/>
    <w:p>
      <w:pPr>
        <w:pStyle w:val="Heading3"/>
      </w:pPr>
      <w:r>
        <w:t xml:space="preserve">9. Результат</w:t>
      </w:r>
    </w:p>
    <w:p>
      <w:pPr>
        <w:pStyle w:val="FirstParagraph"/>
      </w:pPr>
      <w:r>
        <w:t xml:space="preserve">Система формирует файл выгрузки в выбранном формате или выбранной кодировке.</w:t>
      </w:r>
    </w:p>
    <w:bookmarkEnd w:id="389"/>
    <w:bookmarkEnd w:id="390"/>
    <w:bookmarkStart w:id="397" w:name="Xff6613c992d3d2ef9e30b4eff9661ed1e1a5f5a"/>
    <w:p>
      <w:pPr>
        <w:pStyle w:val="Heading2"/>
      </w:pPr>
      <w:r>
        <w:t xml:space="preserve">Импорт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91" w:name="предварительные-условия-3"/>
    <w:p>
      <w:pPr>
        <w:pStyle w:val="Heading3"/>
      </w:pPr>
      <w:r>
        <w:t xml:space="preserve">1. Предварительные условия</w:t>
      </w:r>
    </w:p>
    <w:p>
      <w:pPr>
        <w:pStyle w:val="FirstParagraph"/>
      </w:pPr>
      <w:r>
        <w:t xml:space="preserve">Перед импортом подготовьте файл с записями и убедитесь, что у пользователя есть права на загрузку записей в выбранную базу данных.</w:t>
      </w:r>
    </w:p>
    <w:bookmarkEnd w:id="391"/>
    <w:bookmarkStart w:id="395" w:name="порядок-действий-8"/>
    <w:p>
      <w:pPr>
        <w:pStyle w:val="Heading3"/>
      </w:pPr>
      <w:r>
        <w:t xml:space="preserve">2. Порядок действий</w:t>
      </w:r>
    </w:p>
    <w:p>
      <w:pPr>
        <w:pStyle w:val="Compact"/>
        <w:numPr>
          <w:ilvl w:val="0"/>
          <w:numId w:val="1115"/>
        </w:numPr>
      </w:pPr>
      <w:r>
        <w:t xml:space="preserve">Выберите базу данных электронного каталога, в которую нужно загрузить записи.</w:t>
      </w:r>
    </w:p>
    <w:p>
      <w:pPr>
        <w:pStyle w:val="Compact"/>
        <w:numPr>
          <w:ilvl w:val="0"/>
          <w:numId w:val="1115"/>
        </w:numPr>
      </w:pPr>
      <w:r>
        <w:t xml:space="preserve">На панели инструментов нажмите кнопку</w:t>
      </w:r>
      <w:r>
        <w:t xml:space="preserve"> </w:t>
      </w:r>
      <w:r>
        <w:rPr>
          <w:rStyle w:val="VerbatimChar"/>
        </w:rPr>
        <w:t xml:space="preserve">Импортировать записи</w:t>
      </w:r>
      <w:r>
        <w:t xml:space="preserve">.</w:t>
      </w:r>
    </w:p>
    <w:p>
      <w:pPr>
        <w:pStyle w:val="Compact"/>
        <w:numPr>
          <w:ilvl w:val="0"/>
          <w:numId w:val="1115"/>
        </w:numPr>
      </w:pPr>
      <w:r>
        <w:t xml:space="preserve">В окне</w:t>
      </w:r>
      <w:r>
        <w:t xml:space="preserve"> </w:t>
      </w:r>
      <w:r>
        <w:rPr>
          <w:rStyle w:val="VerbatimChar"/>
        </w:rPr>
        <w:t xml:space="preserve">Импортировать записи</w:t>
      </w:r>
      <w:r>
        <w:t xml:space="preserve"> </w:t>
      </w:r>
      <w:r>
        <w:t xml:space="preserve">выберите файл импорта.</w:t>
      </w:r>
    </w:p>
    <w:p>
      <w:pPr>
        <w:pStyle w:val="Compact"/>
        <w:numPr>
          <w:ilvl w:val="0"/>
          <w:numId w:val="1115"/>
        </w:numPr>
      </w:pPr>
      <w:r>
        <w:t xml:space="preserve">Запустите загрузку выбранного файла.</w:t>
      </w:r>
    </w:p>
    <w:p>
      <w:pPr>
        <w:pStyle w:val="CaptionedFigure"/>
      </w:pPr>
      <w:r>
        <w:drawing>
          <wp:inline>
            <wp:extent cx="5334000" cy="2336692"/>
            <wp:effectExtent b="0" l="0" r="0" t="0"/>
            <wp:docPr descr="Выбор файла импорта записей" title="" id="393" name="Picture"/>
            <a:graphic>
              <a:graphicData uri="http://schemas.openxmlformats.org/drawingml/2006/picture">
                <pic:pic>
                  <pic:nvPicPr>
                    <pic:cNvPr descr="modules/Cataloguer/Help/CataloguerGuide/ImportRecords01.png" id="394" name="Picture"/>
                    <pic:cNvPicPr>
                      <a:picLocks noChangeArrowheads="1" noChangeAspect="1"/>
                    </pic:cNvPicPr>
                  </pic:nvPicPr>
                  <pic:blipFill>
                    <a:blip r:embed="rId392"/>
                    <a:stretch>
                      <a:fillRect/>
                    </a:stretch>
                  </pic:blipFill>
                  <pic:spPr bwMode="auto">
                    <a:xfrm>
                      <a:off x="0" y="0"/>
                      <a:ext cx="5334000" cy="2336692"/>
                    </a:xfrm>
                    <a:prstGeom prst="rect">
                      <a:avLst/>
                    </a:prstGeom>
                    <a:noFill/>
                    <a:ln w="9525">
                      <a:noFill/>
                      <a:headEnd/>
                      <a:tailEnd/>
                    </a:ln>
                  </pic:spPr>
                </pic:pic>
              </a:graphicData>
            </a:graphic>
          </wp:inline>
        </w:drawing>
      </w:r>
    </w:p>
    <w:p>
      <w:pPr>
        <w:pStyle w:val="ImageCaption"/>
      </w:pPr>
      <w:r>
        <w:t xml:space="preserve">Выбор файла импорта записей</w:t>
      </w:r>
    </w:p>
    <w:bookmarkEnd w:id="395"/>
    <w:bookmarkStart w:id="396" w:name="результат-10"/>
    <w:p>
      <w:pPr>
        <w:pStyle w:val="Heading3"/>
      </w:pPr>
      <w:r>
        <w:t xml:space="preserve">3. Результат</w:t>
      </w:r>
    </w:p>
    <w:p>
      <w:pPr>
        <w:pStyle w:val="FirstParagraph"/>
      </w:pPr>
      <w:r>
        <w:t xml:space="preserve">Записи из выбранного файла загружаются в базу данных электронного каталога.</w:t>
      </w:r>
    </w:p>
    <w:bookmarkEnd w:id="396"/>
    <w:bookmarkEnd w:id="397"/>
    <w:bookmarkStart w:id="411" w:name="поиск-записей-в-бд-электронного-каталога"/>
    <w:p>
      <w:pPr>
        <w:pStyle w:val="Heading2"/>
      </w:pPr>
      <w:r>
        <w:t xml:space="preserve">Поиск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99" w:name="назначение-8"/>
    <w:p>
      <w:pPr>
        <w:pStyle w:val="Heading3"/>
      </w:pPr>
      <w:r>
        <w:t xml:space="preserve">1. Назначение</w:t>
      </w:r>
    </w:p>
    <w:p>
      <w:pPr>
        <w:pStyle w:val="FirstParagraph"/>
      </w:pPr>
      <w:r>
        <w:t xml:space="preserve">Сценарий используется для поиска библиографических записей в выбранной базе данных электронного каталога. Общая область поиска описана в разделе</w:t>
      </w:r>
      <w:r>
        <w:t xml:space="preserve"> </w:t>
      </w:r>
      <w:hyperlink r:id="rId398">
        <w:r>
          <w:rPr>
            <w:rStyle w:val="Hyperlink"/>
          </w:rPr>
          <w:t xml:space="preserve">Область словаря</w:t>
        </w:r>
      </w:hyperlink>
      <w:r>
        <w:t xml:space="preserve">.</w:t>
      </w:r>
    </w:p>
    <w:bookmarkEnd w:id="399"/>
    <w:bookmarkStart w:id="406" w:name="порядок-действий-9"/>
    <w:p>
      <w:pPr>
        <w:pStyle w:val="Heading3"/>
      </w:pPr>
      <w:r>
        <w:t xml:space="preserve">2. Порядок действий</w:t>
      </w:r>
    </w:p>
    <w:p>
      <w:pPr>
        <w:pStyle w:val="Compact"/>
        <w:numPr>
          <w:ilvl w:val="0"/>
          <w:numId w:val="1116"/>
        </w:numPr>
      </w:pPr>
      <w:r>
        <w:t xml:space="preserve">Выберите базу данных, по которой нужно выполнить поиск.</w:t>
      </w:r>
    </w:p>
    <w:p>
      <w:pPr>
        <w:pStyle w:val="Compact"/>
        <w:numPr>
          <w:ilvl w:val="0"/>
          <w:numId w:val="1116"/>
        </w:numPr>
      </w:pPr>
      <w:r>
        <w:t xml:space="preserve">В области поиска выберите вид поиска, например</w:t>
      </w:r>
      <w:r>
        <w:t xml:space="preserve"> </w:t>
      </w:r>
      <w:r>
        <w:rPr>
          <w:rStyle w:val="VerbatimChar"/>
        </w:rPr>
        <w:t xml:space="preserve">Ключевые слова</w:t>
      </w:r>
      <w:r>
        <w:t xml:space="preserve">.</w:t>
      </w:r>
    </w:p>
    <w:p>
      <w:pPr>
        <w:pStyle w:val="Compact"/>
        <w:numPr>
          <w:ilvl w:val="0"/>
          <w:numId w:val="1116"/>
        </w:numPr>
      </w:pPr>
      <w:r>
        <w:t xml:space="preserve">Введите поисковый термин в поле</w:t>
      </w:r>
      <w:r>
        <w:t xml:space="preserve"> </w:t>
      </w:r>
      <w:r>
        <w:rPr>
          <w:rStyle w:val="VerbatimChar"/>
        </w:rPr>
        <w:t xml:space="preserve">Ключ</w:t>
      </w:r>
      <w:r>
        <w:t xml:space="preserve">.</w:t>
      </w:r>
    </w:p>
    <w:p>
      <w:pPr>
        <w:pStyle w:val="Compact"/>
        <w:numPr>
          <w:ilvl w:val="0"/>
          <w:numId w:val="1116"/>
        </w:numPr>
      </w:pPr>
      <w:r>
        <w:t xml:space="preserve">Если термин введен в неправильной раскладке, нажмите</w:t>
      </w:r>
      <w:r>
        <w:t xml:space="preserve"> </w:t>
      </w:r>
      <w:r>
        <w:rPr>
          <w:rStyle w:val="VerbatimChar"/>
        </w:rPr>
        <w:t xml:space="preserve">Alt+F6</w:t>
      </w:r>
      <w:r>
        <w:t xml:space="preserve"> </w:t>
      </w:r>
      <w:r>
        <w:t xml:space="preserve">в поле</w:t>
      </w:r>
      <w:r>
        <w:t xml:space="preserve"> </w:t>
      </w:r>
      <w:r>
        <w:rPr>
          <w:rStyle w:val="VerbatimChar"/>
        </w:rPr>
        <w:t xml:space="preserve">Ключ</w:t>
      </w:r>
      <w:r>
        <w:t xml:space="preserve">, чтобы заменить символы строки между русской и английской раскладкой.</w:t>
      </w:r>
    </w:p>
    <w:p>
      <w:pPr>
        <w:pStyle w:val="Compact"/>
        <w:numPr>
          <w:ilvl w:val="0"/>
          <w:numId w:val="1116"/>
        </w:numPr>
      </w:pPr>
      <w:r>
        <w:t xml:space="preserve">Просмотрите укрупнённые результаты поиска с количеством найденных документов.</w:t>
      </w:r>
    </w:p>
    <w:p>
      <w:pPr>
        <w:pStyle w:val="CaptionedFigure"/>
      </w:pPr>
      <w:r>
        <w:drawing>
          <wp:inline>
            <wp:extent cx="5334000" cy="2390034"/>
            <wp:effectExtent b="0" l="0" r="0" t="0"/>
            <wp:docPr descr="Поиск по базе данных" title="" id="401" name="Picture"/>
            <a:graphic>
              <a:graphicData uri="http://schemas.openxmlformats.org/drawingml/2006/picture">
                <pic:pic>
                  <pic:nvPicPr>
                    <pic:cNvPr descr="modules/Cataloguer/Help/CataloguerGuide/SearchRecords01.png" id="402" name="Picture"/>
                    <pic:cNvPicPr>
                      <a:picLocks noChangeArrowheads="1" noChangeAspect="1"/>
                    </pic:cNvPicPr>
                  </pic:nvPicPr>
                  <pic:blipFill>
                    <a:blip r:embed="rId400"/>
                    <a:stretch>
                      <a:fillRect/>
                    </a:stretch>
                  </pic:blipFill>
                  <pic:spPr bwMode="auto">
                    <a:xfrm>
                      <a:off x="0" y="0"/>
                      <a:ext cx="5334000" cy="2390034"/>
                    </a:xfrm>
                    <a:prstGeom prst="rect">
                      <a:avLst/>
                    </a:prstGeom>
                    <a:noFill/>
                    <a:ln w="9525">
                      <a:noFill/>
                      <a:headEnd/>
                      <a:tailEnd/>
                    </a:ln>
                  </pic:spPr>
                </pic:pic>
              </a:graphicData>
            </a:graphic>
          </wp:inline>
        </w:drawing>
      </w:r>
    </w:p>
    <w:p>
      <w:pPr>
        <w:pStyle w:val="ImageCaption"/>
      </w:pPr>
      <w:r>
        <w:t xml:space="preserve">Поиск по базе данных</w:t>
      </w:r>
    </w:p>
    <w:p>
      <w:pPr>
        <w:pStyle w:val="Compact"/>
        <w:numPr>
          <w:ilvl w:val="0"/>
          <w:numId w:val="1117"/>
        </w:numPr>
      </w:pPr>
      <w:r>
        <w:t xml:space="preserve">Дважды щёлкните по подходящему результату поиска.</w:t>
      </w:r>
    </w:p>
    <w:p>
      <w:pPr>
        <w:pStyle w:val="Compact"/>
        <w:numPr>
          <w:ilvl w:val="0"/>
          <w:numId w:val="1117"/>
        </w:numPr>
      </w:pPr>
      <w:r>
        <w:t xml:space="preserve">Проверьте список найденных записей в области</w:t>
      </w:r>
      <w:r>
        <w:t xml:space="preserve"> </w:t>
      </w:r>
      <w:r>
        <w:rPr>
          <w:rStyle w:val="VerbatimChar"/>
        </w:rPr>
        <w:t xml:space="preserve">Результаты поиска</w:t>
      </w:r>
      <w:r>
        <w:t xml:space="preserve">.</w:t>
      </w:r>
    </w:p>
    <w:p>
      <w:pPr>
        <w:pStyle w:val="CaptionedFigure"/>
      </w:pPr>
      <w:r>
        <w:drawing>
          <wp:inline>
            <wp:extent cx="5334000" cy="2395648"/>
            <wp:effectExtent b="0" l="0" r="0" t="0"/>
            <wp:docPr descr="Результаты поиска по базе данных" title="" id="404" name="Picture"/>
            <a:graphic>
              <a:graphicData uri="http://schemas.openxmlformats.org/drawingml/2006/picture">
                <pic:pic>
                  <pic:nvPicPr>
                    <pic:cNvPr descr="modules/Cataloguer/Help/CataloguerGuide/SearchRecords02.png" id="405" name="Picture"/>
                    <pic:cNvPicPr>
                      <a:picLocks noChangeArrowheads="1" noChangeAspect="1"/>
                    </pic:cNvPicPr>
                  </pic:nvPicPr>
                  <pic:blipFill>
                    <a:blip r:embed="rId403"/>
                    <a:stretch>
                      <a:fillRect/>
                    </a:stretch>
                  </pic:blipFill>
                  <pic:spPr bwMode="auto">
                    <a:xfrm>
                      <a:off x="0" y="0"/>
                      <a:ext cx="5334000" cy="2395648"/>
                    </a:xfrm>
                    <a:prstGeom prst="rect">
                      <a:avLst/>
                    </a:prstGeom>
                    <a:noFill/>
                    <a:ln w="9525">
                      <a:noFill/>
                      <a:headEnd/>
                      <a:tailEnd/>
                    </a:ln>
                  </pic:spPr>
                </pic:pic>
              </a:graphicData>
            </a:graphic>
          </wp:inline>
        </w:drawing>
      </w:r>
    </w:p>
    <w:p>
      <w:pPr>
        <w:pStyle w:val="ImageCaption"/>
      </w:pPr>
      <w:r>
        <w:t xml:space="preserve">Результаты поиска по базе данных</w:t>
      </w:r>
    </w:p>
    <w:bookmarkEnd w:id="406"/>
    <w:bookmarkStart w:id="407" w:name="морфологический-поиск-в-linux-appimage"/>
    <w:p>
      <w:pPr>
        <w:pStyle w:val="Heading3"/>
      </w:pPr>
      <w:r>
        <w:t xml:space="preserve">3. Морфологический поиск в Linux AppImage</w:t>
      </w:r>
    </w:p>
    <w:p>
      <w:pPr>
        <w:pStyle w:val="FirstParagraph"/>
      </w:pPr>
      <w:r>
        <w:t xml:space="preserve">В отдельных видах поиска АРМ Каталогизатор расширяет введенный термин морфологическими формами. Такое расширение используется, например, в поиске по автору, персоналии, ключевым словам и всем данным.</w:t>
      </w:r>
    </w:p>
    <w:p>
      <w:pPr>
        <w:pStyle w:val="BodyText"/>
      </w:pPr>
      <w:r>
        <w:t xml:space="preserve">Если при выполнении такого поиска недоступна библиотека</w:t>
      </w:r>
      <w:r>
        <w:t xml:space="preserve"> </w:t>
      </w:r>
      <w:r>
        <w:rPr>
          <w:rStyle w:val="VerbatimChar"/>
        </w:rPr>
        <w:t xml:space="preserve">hunspell</w:t>
      </w:r>
      <w:r>
        <w:t xml:space="preserve"> </w:t>
      </w:r>
      <w:r>
        <w:t xml:space="preserve">или не загружается словарь морфологии, АРМ выводит диагностическое сообщение о причине ошибки. Сообщение об ошибке загрузки библиотеки имеет приоритет над сообщением о файле словаря: если библиотека не загрузилась, пользователь видит именно эту причину.</w:t>
      </w:r>
    </w:p>
    <w:p>
      <w:pPr>
        <w:pStyle w:val="BodyText"/>
      </w:pPr>
      <w:r>
        <w:t xml:space="preserve">В Linux-сборке, запущенной из AppImage, для такого поиска используется библиотека</w:t>
      </w:r>
      <w:r>
        <w:t xml:space="preserve"> </w:t>
      </w:r>
      <w:r>
        <w:rPr>
          <w:rStyle w:val="VerbatimChar"/>
        </w:rPr>
        <w:t xml:space="preserve">hunspell</w:t>
      </w:r>
      <w:r>
        <w:t xml:space="preserve">. АРМ сначала пытается загрузить</w:t>
      </w:r>
      <w:r>
        <w:t xml:space="preserve"> </w:t>
      </w:r>
      <w:r>
        <w:rPr>
          <w:rStyle w:val="VerbatimChar"/>
        </w:rPr>
        <w:t xml:space="preserve">hunspell</w:t>
      </w:r>
      <w:r>
        <w:t xml:space="preserve"> </w:t>
      </w:r>
      <w:r>
        <w:t xml:space="preserve">из системы, а если системная библиотека недоступна, использует библиотеку из AppImage. Это помогает сохранить работу поиска на рабочих местах, где системные пакеты</w:t>
      </w:r>
      <w:r>
        <w:t xml:space="preserve"> </w:t>
      </w:r>
      <w:r>
        <w:rPr>
          <w:rStyle w:val="VerbatimChar"/>
        </w:rPr>
        <w:t xml:space="preserve">hunspell</w:t>
      </w:r>
      <w:r>
        <w:t xml:space="preserve"> </w:t>
      </w:r>
      <w:r>
        <w:t xml:space="preserve">и</w:t>
      </w:r>
      <w:r>
        <w:t xml:space="preserve"> </w:t>
      </w:r>
      <w:r>
        <w:rPr>
          <w:rStyle w:val="VerbatimChar"/>
        </w:rPr>
        <w:t xml:space="preserve">myspell</w:t>
      </w:r>
      <w:r>
        <w:t xml:space="preserve"> </w:t>
      </w:r>
      <w:r>
        <w:t xml:space="preserve">конфликтуют по зависимостям.</w:t>
      </w:r>
    </w:p>
    <w:p>
      <w:pPr>
        <w:pStyle w:val="BodyText"/>
      </w:pPr>
      <w:r>
        <w:t xml:space="preserve">Если при поиске появляется сообщение о недоступной библиотеке или словаре, передайте текст сообщения администратору. Администратору нужно проверить системный</w:t>
      </w:r>
      <w:r>
        <w:t xml:space="preserve"> </w:t>
      </w:r>
      <w:r>
        <w:rPr>
          <w:rStyle w:val="VerbatimChar"/>
        </w:rPr>
        <w:t xml:space="preserve">hunspell</w:t>
      </w:r>
      <w:r>
        <w:t xml:space="preserve">, состав используемого AppImage и настройки словарей; устанавливать</w:t>
      </w:r>
      <w:r>
        <w:t xml:space="preserve"> </w:t>
      </w:r>
      <w:r>
        <w:rPr>
          <w:rStyle w:val="VerbatimChar"/>
        </w:rPr>
        <w:t xml:space="preserve">myspell-ru</w:t>
      </w:r>
      <w:r>
        <w:t xml:space="preserve"> </w:t>
      </w:r>
      <w:r>
        <w:t xml:space="preserve">вместо</w:t>
      </w:r>
      <w:r>
        <w:t xml:space="preserve"> </w:t>
      </w:r>
      <w:r>
        <w:rPr>
          <w:rStyle w:val="VerbatimChar"/>
        </w:rPr>
        <w:t xml:space="preserve">hunspell-ru</w:t>
      </w:r>
      <w:r>
        <w:t xml:space="preserve"> </w:t>
      </w:r>
      <w:r>
        <w:t xml:space="preserve">следует только после проверки зависимостей Linux-дистрибутива.</w:t>
      </w:r>
    </w:p>
    <w:bookmarkEnd w:id="407"/>
    <w:bookmarkStart w:id="408" w:name="сохранение-вида-поиска"/>
    <w:p>
      <w:pPr>
        <w:pStyle w:val="Heading3"/>
      </w:pPr>
      <w:r>
        <w:t xml:space="preserve">4. Сохранение вида поиска</w:t>
      </w:r>
    </w:p>
    <w:p>
      <w:pPr>
        <w:pStyle w:val="FirstParagraph"/>
      </w:pPr>
      <w:r>
        <w:t xml:space="preserve">Каталогизатор сохраняет выбранный вид поиска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 Если на вкладке</w:t>
      </w:r>
      <w:r>
        <w:t xml:space="preserve"> </w:t>
      </w:r>
      <w:r>
        <w:rPr>
          <w:rStyle w:val="VerbatimChar"/>
        </w:rPr>
        <w:t xml:space="preserve">Новые</w:t>
      </w:r>
      <w:r>
        <w:t xml:space="preserve"> </w:t>
      </w:r>
      <w:r>
        <w:t xml:space="preserve">не выбран конкретный MFN, возврат к поиску не сбрасывает список видов поиска на первое значение: в области словаря остается ранее выбранный вариант, например</w:t>
      </w:r>
      <w:r>
        <w:t xml:space="preserve"> </w:t>
      </w:r>
      <w:r>
        <w:rPr>
          <w:rStyle w:val="VerbatimChar"/>
        </w:rPr>
        <w:t xml:space="preserve">Ключевые слова</w:t>
      </w:r>
      <w:r>
        <w:t xml:space="preserve">.</w:t>
      </w:r>
    </w:p>
    <w:bookmarkEnd w:id="408"/>
    <w:bookmarkStart w:id="409" w:name="прямой-поиск-на-языке-запросов-ирбис"/>
    <w:p>
      <w:pPr>
        <w:pStyle w:val="Heading3"/>
      </w:pPr>
      <w:r>
        <w:t xml:space="preserve">5. Прямой поиск на языке запросов ИРБИС</w:t>
      </w:r>
    </w:p>
    <w:p>
      <w:pPr>
        <w:pStyle w:val="FirstParagraph"/>
      </w:pPr>
      <w:r>
        <w:t xml:space="preserve">Вид поиска</w:t>
      </w:r>
      <w:r>
        <w:t xml:space="preserve"> </w:t>
      </w:r>
      <w:r>
        <w:rPr>
          <w:rStyle w:val="VerbatimChar"/>
        </w:rPr>
        <w:t xml:space="preserve">Прямой поиск на языке запросов ИРБИС</w:t>
      </w:r>
      <w:r>
        <w:t xml:space="preserve"> </w:t>
      </w:r>
      <w:r>
        <w:t xml:space="preserve">предназначен для опытных пользователей, которые вводят готовое выражение на языке запросов ИРБИС. Его используют, когда нужно объединить несколько поисковых признаков или повторить уже подготовленный запрос без выбора отдельного словаря.</w:t>
      </w:r>
    </w:p>
    <w:p>
      <w:pPr>
        <w:pStyle w:val="Compact"/>
        <w:numPr>
          <w:ilvl w:val="0"/>
          <w:numId w:val="1118"/>
        </w:numPr>
      </w:pPr>
      <w:r>
        <w:t xml:space="preserve">В списке</w:t>
      </w:r>
      <w:r>
        <w:t xml:space="preserve"> </w:t>
      </w:r>
      <w:r>
        <w:rPr>
          <w:rStyle w:val="VerbatimChar"/>
        </w:rPr>
        <w:t xml:space="preserve">Вид поиска</w:t>
      </w:r>
      <w:r>
        <w:t xml:space="preserve"> </w:t>
      </w:r>
      <w:r>
        <w:t xml:space="preserve">выберите</w:t>
      </w:r>
      <w:r>
        <w:t xml:space="preserve"> </w:t>
      </w:r>
      <w:r>
        <w:rPr>
          <w:rStyle w:val="VerbatimChar"/>
        </w:rPr>
        <w:t xml:space="preserve">Прямой поиск на языке запросов ИРБИС</w:t>
      </w:r>
      <w:r>
        <w:t xml:space="preserve">. Если такого пункта нет, он не настроен для выбранной базы данных.</w:t>
      </w:r>
    </w:p>
    <w:p>
      <w:pPr>
        <w:pStyle w:val="Compact"/>
        <w:numPr>
          <w:ilvl w:val="0"/>
          <w:numId w:val="1118"/>
        </w:numPr>
      </w:pPr>
      <w:r>
        <w:t xml:space="preserve">В поле</w:t>
      </w:r>
      <w:r>
        <w:t xml:space="preserve"> </w:t>
      </w:r>
      <w:r>
        <w:rPr>
          <w:rStyle w:val="VerbatimChar"/>
        </w:rPr>
        <w:t xml:space="preserve">Ключ</w:t>
      </w:r>
      <w:r>
        <w:t xml:space="preserve"> </w:t>
      </w:r>
      <w:r>
        <w:t xml:space="preserve">введите полное поисковое выражение, например</w:t>
      </w:r>
      <w:r>
        <w:t xml:space="preserve"> </w:t>
      </w:r>
      <w:r>
        <w:rPr>
          <w:rStyle w:val="VerbatimChar"/>
        </w:rPr>
        <w:t xml:space="preserve">"A=ПУШКИН$"</w:t>
      </w:r>
      <w:r>
        <w:t xml:space="preserve"> </w:t>
      </w:r>
      <w:r>
        <w:t xml:space="preserve">или</w:t>
      </w:r>
      <w:r>
        <w:t xml:space="preserve"> </w:t>
      </w:r>
      <w:r>
        <w:rPr>
          <w:rStyle w:val="VerbatimChar"/>
        </w:rPr>
        <w:t xml:space="preserve">"K=БИБЛИОТЕКА$"*"V=КНИГИ"</w:t>
      </w:r>
      <w:r>
        <w:t xml:space="preserve">.</w:t>
      </w:r>
    </w:p>
    <w:p>
      <w:pPr>
        <w:pStyle w:val="Compact"/>
        <w:numPr>
          <w:ilvl w:val="0"/>
          <w:numId w:val="1118"/>
        </w:numPr>
      </w:pPr>
      <w:r>
        <w:t xml:space="preserve">Выполните поиск.</w:t>
      </w:r>
    </w:p>
    <w:p>
      <w:pPr>
        <w:pStyle w:val="Compact"/>
        <w:numPr>
          <w:ilvl w:val="0"/>
          <w:numId w:val="1118"/>
        </w:numPr>
      </w:pPr>
      <w:r>
        <w:t xml:space="preserve">Проверьте выборку в области</w:t>
      </w:r>
      <w:r>
        <w:t xml:space="preserve"> </w:t>
      </w:r>
      <w:r>
        <w:rPr>
          <w:rStyle w:val="VerbatimChar"/>
        </w:rPr>
        <w:t xml:space="preserve">Результаты поиска</w:t>
      </w:r>
      <w:r>
        <w:t xml:space="preserve">.</w:t>
      </w:r>
    </w:p>
    <w:p>
      <w:pPr>
        <w:pStyle w:val="FirstParagraph"/>
      </w:pPr>
      <w:r>
        <w:t xml:space="preserve">В этом режиме строка воспринимается как готовый запрос. Вводите служебные префиксы, кавычки, логические связки и усечения так, как они должны быть переданы серверу ИРБИС. Последовательный запрос используйте только для уточнения уже найденной выборки.</w:t>
      </w:r>
    </w:p>
    <w:bookmarkEnd w:id="409"/>
    <w:bookmarkStart w:id="410" w:name="результат-11"/>
    <w:p>
      <w:pPr>
        <w:pStyle w:val="Heading3"/>
      </w:pPr>
      <w:r>
        <w:t xml:space="preserve">6. Результат</w:t>
      </w:r>
    </w:p>
    <w:p>
      <w:pPr>
        <w:pStyle w:val="FirstParagraph"/>
      </w:pPr>
      <w:r>
        <w:t xml:space="preserve">Найденные записи отображаются в области</w:t>
      </w:r>
      <w:r>
        <w:t xml:space="preserve"> </w:t>
      </w:r>
      <w:r>
        <w:rPr>
          <w:rStyle w:val="VerbatimChar"/>
        </w:rPr>
        <w:t xml:space="preserve">Результаты поиска</w:t>
      </w:r>
      <w:r>
        <w:t xml:space="preserve"> </w:t>
      </w:r>
      <w:r>
        <w:t xml:space="preserve">и могут использоваться для просмотра, редактирования, экспорта, печати и других операций.</w:t>
      </w:r>
    </w:p>
    <w:bookmarkEnd w:id="410"/>
    <w:bookmarkEnd w:id="411"/>
    <w:bookmarkStart w:id="433" w:name="сохранённые-поисковые-запросы"/>
    <w:p>
      <w:pPr>
        <w:pStyle w:val="Heading2"/>
      </w:pPr>
      <w:r>
        <w:t xml:space="preserve">Сохранённые поисковые запросы</w:t>
      </w:r>
    </w:p>
    <w:p>
      <w:pPr>
        <w:pStyle w:val="FirstParagraph"/>
      </w:pPr>
      <w:r>
        <w:t xml:space="preserve">Раздел подготовлен по материалам старого документа «АРМ Каталогизатор 128».</w:t>
      </w:r>
    </w:p>
    <w:bookmarkStart w:id="412" w:name="назначение-9"/>
    <w:p>
      <w:pPr>
        <w:pStyle w:val="Heading3"/>
      </w:pPr>
      <w:r>
        <w:t xml:space="preserve">1. Назначение</w:t>
      </w:r>
    </w:p>
    <w:p>
      <w:pPr>
        <w:pStyle w:val="FirstParagraph"/>
      </w:pPr>
      <w:r>
        <w:t xml:space="preserve">Сохранённый поисковый запрос позволяет вернуться к ранее выполненному поиску без повторного ввода условий.</w:t>
      </w:r>
    </w:p>
    <w:bookmarkEnd w:id="412"/>
    <w:bookmarkStart w:id="419" w:name="сохранение-поискового-запроса"/>
    <w:p>
      <w:pPr>
        <w:pStyle w:val="Heading3"/>
      </w:pPr>
      <w:r>
        <w:t xml:space="preserve">2. Сохранение поискового запроса</w:t>
      </w:r>
    </w:p>
    <w:p>
      <w:pPr>
        <w:pStyle w:val="Compact"/>
        <w:numPr>
          <w:ilvl w:val="0"/>
          <w:numId w:val="1119"/>
        </w:numPr>
      </w:pPr>
      <w:r>
        <w:t xml:space="preserve">Выполните поиск в базе данных.</w:t>
      </w:r>
    </w:p>
    <w:p>
      <w:pPr>
        <w:pStyle w:val="Compact"/>
        <w:numPr>
          <w:ilvl w:val="0"/>
          <w:numId w:val="1119"/>
        </w:numPr>
      </w:pPr>
      <w:r>
        <w:t xml:space="preserve">После появления результатов нажмите кнопку</w:t>
      </w:r>
      <w:r>
        <w:t xml:space="preserve"> </w:t>
      </w:r>
      <w:r>
        <w:rPr>
          <w:rStyle w:val="VerbatimChar"/>
        </w:rPr>
        <w:t xml:space="preserve">Сохранить поисковый запрос</w:t>
      </w:r>
      <w:r>
        <w:t xml:space="preserve">.</w:t>
      </w:r>
    </w:p>
    <w:p>
      <w:pPr>
        <w:pStyle w:val="CaptionedFigure"/>
      </w:pPr>
      <w:r>
        <w:drawing>
          <wp:inline>
            <wp:extent cx="5334000" cy="2324516"/>
            <wp:effectExtent b="0" l="0" r="0" t="0"/>
            <wp:docPr descr="Сохранение поискового запроса" title="" id="414" name="Picture"/>
            <a:graphic>
              <a:graphicData uri="http://schemas.openxmlformats.org/drawingml/2006/picture">
                <pic:pic>
                  <pic:nvPicPr>
                    <pic:cNvPr descr="modules/Cataloguer/Help/CataloguerGuide/SavedSearches01.png" id="415" name="Picture"/>
                    <pic:cNvPicPr>
                      <a:picLocks noChangeArrowheads="1" noChangeAspect="1"/>
                    </pic:cNvPicPr>
                  </pic:nvPicPr>
                  <pic:blipFill>
                    <a:blip r:embed="rId413"/>
                    <a:stretch>
                      <a:fillRect/>
                    </a:stretch>
                  </pic:blipFill>
                  <pic:spPr bwMode="auto">
                    <a:xfrm>
                      <a:off x="0" y="0"/>
                      <a:ext cx="5334000" cy="2324516"/>
                    </a:xfrm>
                    <a:prstGeom prst="rect">
                      <a:avLst/>
                    </a:prstGeom>
                    <a:noFill/>
                    <a:ln w="9525">
                      <a:noFill/>
                      <a:headEnd/>
                      <a:tailEnd/>
                    </a:ln>
                  </pic:spPr>
                </pic:pic>
              </a:graphicData>
            </a:graphic>
          </wp:inline>
        </w:drawing>
      </w:r>
    </w:p>
    <w:p>
      <w:pPr>
        <w:pStyle w:val="ImageCaption"/>
      </w:pPr>
      <w:r>
        <w:t xml:space="preserve">Сохранение поискового запроса</w:t>
      </w:r>
    </w:p>
    <w:p>
      <w:pPr>
        <w:pStyle w:val="Compact"/>
        <w:numPr>
          <w:ilvl w:val="0"/>
          <w:numId w:val="1120"/>
        </w:numPr>
      </w:pPr>
      <w:r>
        <w:t xml:space="preserve">Введите имя поискового запроса.</w:t>
      </w:r>
    </w:p>
    <w:p>
      <w:pPr>
        <w:pStyle w:val="Compact"/>
        <w:numPr>
          <w:ilvl w:val="0"/>
          <w:numId w:val="1120"/>
        </w:numPr>
      </w:pPr>
      <w:r>
        <w:t xml:space="preserve">Подтвердите сохранение.</w:t>
      </w:r>
    </w:p>
    <w:p>
      <w:pPr>
        <w:pStyle w:val="CaptionedFigure"/>
      </w:pPr>
      <w:r>
        <w:drawing>
          <wp:inline>
            <wp:extent cx="4369869" cy="1068404"/>
            <wp:effectExtent b="0" l="0" r="0" t="0"/>
            <wp:docPr descr="Ввод имени сохраняемого поискового запроса" title="" id="417" name="Picture"/>
            <a:graphic>
              <a:graphicData uri="http://schemas.openxmlformats.org/drawingml/2006/picture">
                <pic:pic>
                  <pic:nvPicPr>
                    <pic:cNvPr descr="modules/Cataloguer/Help/CataloguerGuide/SavedSearches02.png" id="418" name="Picture"/>
                    <pic:cNvPicPr>
                      <a:picLocks noChangeArrowheads="1" noChangeAspect="1"/>
                    </pic:cNvPicPr>
                  </pic:nvPicPr>
                  <pic:blipFill>
                    <a:blip r:embed="rId416"/>
                    <a:stretch>
                      <a:fillRect/>
                    </a:stretch>
                  </pic:blipFill>
                  <pic:spPr bwMode="auto">
                    <a:xfrm>
                      <a:off x="0" y="0"/>
                      <a:ext cx="4369869" cy="1068404"/>
                    </a:xfrm>
                    <a:prstGeom prst="rect">
                      <a:avLst/>
                    </a:prstGeom>
                    <a:noFill/>
                    <a:ln w="9525">
                      <a:noFill/>
                      <a:headEnd/>
                      <a:tailEnd/>
                    </a:ln>
                  </pic:spPr>
                </pic:pic>
              </a:graphicData>
            </a:graphic>
          </wp:inline>
        </w:drawing>
      </w:r>
    </w:p>
    <w:p>
      <w:pPr>
        <w:pStyle w:val="ImageCaption"/>
      </w:pPr>
      <w:r>
        <w:t xml:space="preserve">Ввод имени сохраняемого поискового запроса</w:t>
      </w:r>
    </w:p>
    <w:bookmarkEnd w:id="419"/>
    <w:bookmarkStart w:id="427" w:name="просмотр-сохранённых-запросов"/>
    <w:p>
      <w:pPr>
        <w:pStyle w:val="Heading3"/>
      </w:pPr>
      <w:r>
        <w:t xml:space="preserve">3. Просмотр сохранённых запросов</w:t>
      </w:r>
    </w:p>
    <w:p>
      <w:pPr>
        <w:pStyle w:val="Compact"/>
        <w:numPr>
          <w:ilvl w:val="0"/>
          <w:numId w:val="1121"/>
        </w:numPr>
      </w:pPr>
      <w:r>
        <w:t xml:space="preserve">На панели инструментов нажмите кнопку</w:t>
      </w:r>
      <w:r>
        <w:t xml:space="preserve"> </w:t>
      </w:r>
      <w:r>
        <w:rPr>
          <w:rStyle w:val="VerbatimChar"/>
        </w:rPr>
        <w:t xml:space="preserve">Сохранённые запросы</w:t>
      </w:r>
      <w:r>
        <w:t xml:space="preserve">.</w:t>
      </w:r>
    </w:p>
    <w:p>
      <w:pPr>
        <w:pStyle w:val="CaptionedFigure"/>
      </w:pPr>
      <w:r>
        <w:drawing>
          <wp:inline>
            <wp:extent cx="5334000" cy="2527869"/>
            <wp:effectExtent b="0" l="0" r="0" t="0"/>
            <wp:docPr descr="Переход к сохранённым запросам" title="" id="421" name="Picture"/>
            <a:graphic>
              <a:graphicData uri="http://schemas.openxmlformats.org/drawingml/2006/picture">
                <pic:pic>
                  <pic:nvPicPr>
                    <pic:cNvPr descr="modules/Cataloguer/Help/CataloguerGuide/SavedSearches03.png" id="422" name="Picture"/>
                    <pic:cNvPicPr>
                      <a:picLocks noChangeArrowheads="1" noChangeAspect="1"/>
                    </pic:cNvPicPr>
                  </pic:nvPicPr>
                  <pic:blipFill>
                    <a:blip r:embed="rId420"/>
                    <a:stretch>
                      <a:fillRect/>
                    </a:stretch>
                  </pic:blipFill>
                  <pic:spPr bwMode="auto">
                    <a:xfrm>
                      <a:off x="0" y="0"/>
                      <a:ext cx="5334000" cy="2527869"/>
                    </a:xfrm>
                    <a:prstGeom prst="rect">
                      <a:avLst/>
                    </a:prstGeom>
                    <a:noFill/>
                    <a:ln w="9525">
                      <a:noFill/>
                      <a:headEnd/>
                      <a:tailEnd/>
                    </a:ln>
                  </pic:spPr>
                </pic:pic>
              </a:graphicData>
            </a:graphic>
          </wp:inline>
        </w:drawing>
      </w:r>
    </w:p>
    <w:p>
      <w:pPr>
        <w:pStyle w:val="ImageCaption"/>
      </w:pPr>
      <w:r>
        <w:t xml:space="preserve">Переход к сохранённым запросам</w:t>
      </w:r>
    </w:p>
    <w:p>
      <w:pPr>
        <w:pStyle w:val="Compact"/>
        <w:numPr>
          <w:ilvl w:val="0"/>
          <w:numId w:val="1122"/>
        </w:numPr>
      </w:pPr>
      <w:r>
        <w:t xml:space="preserve">В новой вкладке откроется список сохранённых поисковых запросов.</w:t>
      </w:r>
    </w:p>
    <w:p>
      <w:pPr>
        <w:pStyle w:val="Compact"/>
        <w:numPr>
          <w:ilvl w:val="0"/>
          <w:numId w:val="1122"/>
        </w:numPr>
      </w:pPr>
      <w:r>
        <w:t xml:space="preserve">Выберите нужный запрос, чтобы вернуться к результатам поиска.</w:t>
      </w:r>
    </w:p>
    <w:p>
      <w:pPr>
        <w:pStyle w:val="CaptionedFigure"/>
      </w:pPr>
      <w:r>
        <w:drawing>
          <wp:inline>
            <wp:extent cx="5334000" cy="2291920"/>
            <wp:effectExtent b="0" l="0" r="0" t="0"/>
            <wp:docPr descr="Список сохранённых поисковых запросов" title="" id="424" name="Picture"/>
            <a:graphic>
              <a:graphicData uri="http://schemas.openxmlformats.org/drawingml/2006/picture">
                <pic:pic>
                  <pic:nvPicPr>
                    <pic:cNvPr descr="modules/Cataloguer/Help/CataloguerGuide/SavedSearches04.png" id="425" name="Picture"/>
                    <pic:cNvPicPr>
                      <a:picLocks noChangeArrowheads="1" noChangeAspect="1"/>
                    </pic:cNvPicPr>
                  </pic:nvPicPr>
                  <pic:blipFill>
                    <a:blip r:embed="rId423"/>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Список сохранённых поисковых запросов</w:t>
      </w:r>
    </w:p>
    <w:p>
      <w:pPr>
        <w:pStyle w:val="BodyText"/>
      </w:pPr>
      <w:r>
        <w:t xml:space="preserve">Подписка на новые поступления, переименование и удаление запросов описаны в</w:t>
      </w:r>
      <w:r>
        <w:t xml:space="preserve"> </w:t>
      </w:r>
      <w:r>
        <w:t xml:space="preserve">разделе</w:t>
      </w:r>
      <w:r>
        <w:t xml:space="preserve"> </w:t>
      </w:r>
      <w:hyperlink r:id="rId426">
        <w:r>
          <w:rPr>
            <w:rStyle w:val="Hyperlink"/>
          </w:rPr>
          <w:t xml:space="preserve">Сохраненные поисковые запросы</w:t>
        </w:r>
      </w:hyperlink>
      <w:r>
        <w:t xml:space="preserve">.</w:t>
      </w:r>
    </w:p>
    <w:bookmarkEnd w:id="427"/>
    <w:bookmarkStart w:id="431" w:name="удаление-сохранённого-запроса"/>
    <w:p>
      <w:pPr>
        <w:pStyle w:val="Heading3"/>
      </w:pPr>
      <w:r>
        <w:t xml:space="preserve">4. Удаление сохранённого запроса</w:t>
      </w:r>
    </w:p>
    <w:p>
      <w:pPr>
        <w:pStyle w:val="Compact"/>
        <w:numPr>
          <w:ilvl w:val="0"/>
          <w:numId w:val="1123"/>
        </w:numPr>
      </w:pPr>
      <w:r>
        <w:t xml:space="preserve">Откройте список сохранённых поисковых запросов.</w:t>
      </w:r>
    </w:p>
    <w:p>
      <w:pPr>
        <w:pStyle w:val="Compact"/>
        <w:numPr>
          <w:ilvl w:val="0"/>
          <w:numId w:val="1123"/>
        </w:numPr>
      </w:pPr>
      <w:r>
        <w:t xml:space="preserve">Нажмите кнопку удаления напротив запроса, который нужно удалить.</w:t>
      </w:r>
    </w:p>
    <w:p>
      <w:pPr>
        <w:pStyle w:val="Compact"/>
        <w:numPr>
          <w:ilvl w:val="0"/>
          <w:numId w:val="1123"/>
        </w:numPr>
      </w:pPr>
      <w:r>
        <w:t xml:space="preserve">Подтвердите удаление, если система запросит подтверждение.</w:t>
      </w:r>
    </w:p>
    <w:p>
      <w:pPr>
        <w:pStyle w:val="CaptionedFigure"/>
      </w:pPr>
      <w:r>
        <w:drawing>
          <wp:inline>
            <wp:extent cx="5334000" cy="2291920"/>
            <wp:effectExtent b="0" l="0" r="0" t="0"/>
            <wp:docPr descr="Удаление сохранённого поискового запроса" title="" id="429" name="Picture"/>
            <a:graphic>
              <a:graphicData uri="http://schemas.openxmlformats.org/drawingml/2006/picture">
                <pic:pic>
                  <pic:nvPicPr>
                    <pic:cNvPr descr="modules/Cataloguer/Help/CataloguerGuide/SavedSearches05.png" id="430" name="Picture"/>
                    <pic:cNvPicPr>
                      <a:picLocks noChangeArrowheads="1" noChangeAspect="1"/>
                    </pic:cNvPicPr>
                  </pic:nvPicPr>
                  <pic:blipFill>
                    <a:blip r:embed="rId428"/>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Удаление сохранённого поискового запроса</w:t>
      </w:r>
    </w:p>
    <w:bookmarkEnd w:id="431"/>
    <w:bookmarkStart w:id="432" w:name="результат-12"/>
    <w:p>
      <w:pPr>
        <w:pStyle w:val="Heading3"/>
      </w:pPr>
      <w:r>
        <w:t xml:space="preserve">5. Результат</w:t>
      </w:r>
    </w:p>
    <w:p>
      <w:pPr>
        <w:pStyle w:val="FirstParagraph"/>
      </w:pPr>
      <w:r>
        <w:t xml:space="preserve">Пользователь может сохранять часто используемые запросы, возвращаться к ним,</w:t>
      </w:r>
      <w:r>
        <w:t xml:space="preserve"> </w:t>
      </w:r>
      <w:r>
        <w:t xml:space="preserve">удалять неактуальные запросы и управлять подпиской на новые поступления из</w:t>
      </w:r>
      <w:r>
        <w:t xml:space="preserve"> </w:t>
      </w:r>
      <w:r>
        <w:t xml:space="preserve">списка сохраненных запросов.</w:t>
      </w:r>
    </w:p>
    <w:bookmarkEnd w:id="432"/>
    <w:bookmarkEnd w:id="433"/>
    <w:bookmarkStart w:id="465" w:name="просмотр-сведений-о-найденных-записях"/>
    <w:p>
      <w:pPr>
        <w:pStyle w:val="Heading2"/>
      </w:pPr>
      <w:r>
        <w:t xml:space="preserve">Просмотр сведений о найденных записях</w:t>
      </w:r>
    </w:p>
    <w:p>
      <w:pPr>
        <w:pStyle w:val="FirstParagraph"/>
      </w:pPr>
      <w:r>
        <w:t xml:space="preserve">Раздел подготовлен по материалам старого документа «АРМ Каталогизатор 128».</w:t>
      </w:r>
    </w:p>
    <w:bookmarkStart w:id="434" w:name="назначение-10"/>
    <w:p>
      <w:pPr>
        <w:pStyle w:val="Heading3"/>
      </w:pPr>
      <w:r>
        <w:t xml:space="preserve">1. Назначение</w:t>
      </w:r>
    </w:p>
    <w:p>
      <w:pPr>
        <w:pStyle w:val="FirstParagraph"/>
      </w:pPr>
      <w:r>
        <w:t xml:space="preserve">После поиска записей пользователь может открыть полное описание, аннотацию, содержание, ключевые слова, систематические шифры и сведения о держателях документа для выбранной записи. Команды просмотра сведений появляются только после выбора записи в результатах поиска.</w:t>
      </w:r>
    </w:p>
    <w:p>
      <w:pPr>
        <w:pStyle w:val="BodyText"/>
      </w:pPr>
      <w:r>
        <w:t xml:space="preserve">Перед выполнением любого действия найдите запись и отметьте ее в области</w:t>
      </w:r>
      <w:r>
        <w:t xml:space="preserve"> </w:t>
      </w:r>
      <w:r>
        <w:rPr>
          <w:rStyle w:val="VerbatimChar"/>
        </w:rPr>
        <w:t xml:space="preserve">Результаты поиска</w:t>
      </w:r>
      <w:r>
        <w:t xml:space="preserve">. Пока запись не выделена, кнопки действий по конкретной записи, включая</w:t>
      </w:r>
      <w:r>
        <w:t xml:space="preserve"> </w:t>
      </w:r>
      <w:r>
        <w:rPr>
          <w:rStyle w:val="VerbatimChar"/>
        </w:rPr>
        <w:t xml:space="preserve">Держатели документа</w:t>
      </w:r>
      <w:r>
        <w:t xml:space="preserve">, не отображаются.</w:t>
      </w:r>
    </w:p>
    <w:p>
      <w:pPr>
        <w:pStyle w:val="BodyText"/>
      </w:pPr>
      <w:r>
        <w:t xml:space="preserve">Если запись не отмечена, действия просмотра сведений о записи скрыты или недоступны. После выбора записи отдельные кнопки показываются только при наличии соответствующих данных:</w:t>
      </w:r>
      <w:r>
        <w:t xml:space="preserve"> </w:t>
      </w:r>
      <w:r>
        <w:rPr>
          <w:rStyle w:val="VerbatimChar"/>
        </w:rPr>
        <w:t xml:space="preserve">Полное описание</w:t>
      </w:r>
      <w:r>
        <w:t xml:space="preserve"> </w:t>
      </w:r>
      <w:r>
        <w:t xml:space="preserve">- для записей, для которых доступен просмотр полного описания,</w:t>
      </w:r>
      <w:r>
        <w:t xml:space="preserve"> </w:t>
      </w:r>
      <w:r>
        <w:rPr>
          <w:rStyle w:val="VerbatimChar"/>
        </w:rPr>
        <w:t xml:space="preserve">Аннотация</w:t>
      </w:r>
      <w:r>
        <w:t xml:space="preserve"> </w:t>
      </w:r>
      <w:r>
        <w:t xml:space="preserve">- для записей с аннотационным текстом,</w:t>
      </w:r>
      <w:r>
        <w:t xml:space="preserve"> </w:t>
      </w:r>
      <w:r>
        <w:rPr>
          <w:rStyle w:val="VerbatimChar"/>
        </w:rPr>
        <w:t xml:space="preserve">Ключевые слова</w:t>
      </w:r>
      <w:r>
        <w:t xml:space="preserve"> </w:t>
      </w:r>
      <w:r>
        <w:t xml:space="preserve">- для записей с заполненными ключевыми словами.</w:t>
      </w:r>
    </w:p>
    <w:bookmarkEnd w:id="434"/>
    <w:bookmarkStart w:id="441" w:name="полное-описание"/>
    <w:p>
      <w:pPr>
        <w:pStyle w:val="Heading3"/>
      </w:pPr>
      <w:r>
        <w:t xml:space="preserve">2. Полное описание</w:t>
      </w:r>
    </w:p>
    <w:p>
      <w:pPr>
        <w:pStyle w:val="Compact"/>
        <w:numPr>
          <w:ilvl w:val="0"/>
          <w:numId w:val="1124"/>
        </w:numPr>
      </w:pPr>
      <w:r>
        <w:t xml:space="preserve">Отметьте запись, для которой нужно просмотреть полное описание.</w:t>
      </w:r>
    </w:p>
    <w:p>
      <w:pPr>
        <w:pStyle w:val="Compact"/>
        <w:numPr>
          <w:ilvl w:val="0"/>
          <w:numId w:val="1124"/>
        </w:numPr>
      </w:pPr>
      <w:r>
        <w:t xml:space="preserve">Убедитесь, что в панели действий появилась кнопка</w:t>
      </w:r>
      <w:r>
        <w:t xml:space="preserve"> </w:t>
      </w:r>
      <w:r>
        <w:rPr>
          <w:rStyle w:val="VerbatimChar"/>
        </w:rPr>
        <w:t xml:space="preserve">Полное описание</w:t>
      </w:r>
      <w:r>
        <w:t xml:space="preserve">, и нажмите её.</w:t>
      </w:r>
    </w:p>
    <w:p>
      <w:pPr>
        <w:pStyle w:val="CaptionedFigure"/>
      </w:pPr>
      <w:r>
        <w:drawing>
          <wp:inline>
            <wp:extent cx="5334000" cy="2327034"/>
            <wp:effectExtent b="0" l="0" r="0" t="0"/>
            <wp:docPr descr="Вызов просмотра полного описания" title="" id="436" name="Picture"/>
            <a:graphic>
              <a:graphicData uri="http://schemas.openxmlformats.org/drawingml/2006/picture">
                <pic:pic>
                  <pic:nvPicPr>
                    <pic:cNvPr descr="modules/Cataloguer/Help/CataloguerGuide/RecordDetailsActions01.png" id="437" name="Picture"/>
                    <pic:cNvPicPr>
                      <a:picLocks noChangeArrowheads="1" noChangeAspect="1"/>
                    </pic:cNvPicPr>
                  </pic:nvPicPr>
                  <pic:blipFill>
                    <a:blip r:embed="rId435"/>
                    <a:stretch>
                      <a:fillRect/>
                    </a:stretch>
                  </pic:blipFill>
                  <pic:spPr bwMode="auto">
                    <a:xfrm>
                      <a:off x="0" y="0"/>
                      <a:ext cx="5334000" cy="2327034"/>
                    </a:xfrm>
                    <a:prstGeom prst="rect">
                      <a:avLst/>
                    </a:prstGeom>
                    <a:noFill/>
                    <a:ln w="9525">
                      <a:noFill/>
                      <a:headEnd/>
                      <a:tailEnd/>
                    </a:ln>
                  </pic:spPr>
                </pic:pic>
              </a:graphicData>
            </a:graphic>
          </wp:inline>
        </w:drawing>
      </w:r>
    </w:p>
    <w:p>
      <w:pPr>
        <w:pStyle w:val="ImageCaption"/>
      </w:pPr>
      <w:r>
        <w:t xml:space="preserve">Вызов просмотра полного описания</w:t>
      </w:r>
    </w:p>
    <w:p>
      <w:pPr>
        <w:pStyle w:val="Compact"/>
        <w:numPr>
          <w:ilvl w:val="0"/>
          <w:numId w:val="1125"/>
        </w:numPr>
      </w:pPr>
      <w:r>
        <w:t xml:space="preserve">Полное описание откроется в новой вкладке.</w:t>
      </w:r>
    </w:p>
    <w:p>
      <w:pPr>
        <w:pStyle w:val="CaptionedFigure"/>
      </w:pPr>
      <w:r>
        <w:drawing>
          <wp:inline>
            <wp:extent cx="5334000" cy="1388908"/>
            <wp:effectExtent b="0" l="0" r="0" t="0"/>
            <wp:docPr descr="Просмотр полного описания" title="" id="439" name="Picture"/>
            <a:graphic>
              <a:graphicData uri="http://schemas.openxmlformats.org/drawingml/2006/picture">
                <pic:pic>
                  <pic:nvPicPr>
                    <pic:cNvPr descr="modules/Cataloguer/Help/CataloguerGuide/RecordDetailsActions02.png" id="440" name="Picture"/>
                    <pic:cNvPicPr>
                      <a:picLocks noChangeArrowheads="1" noChangeAspect="1"/>
                    </pic:cNvPicPr>
                  </pic:nvPicPr>
                  <pic:blipFill>
                    <a:blip r:embed="rId438"/>
                    <a:stretch>
                      <a:fillRect/>
                    </a:stretch>
                  </pic:blipFill>
                  <pic:spPr bwMode="auto">
                    <a:xfrm>
                      <a:off x="0" y="0"/>
                      <a:ext cx="5334000" cy="1388908"/>
                    </a:xfrm>
                    <a:prstGeom prst="rect">
                      <a:avLst/>
                    </a:prstGeom>
                    <a:noFill/>
                    <a:ln w="9525">
                      <a:noFill/>
                      <a:headEnd/>
                      <a:tailEnd/>
                    </a:ln>
                  </pic:spPr>
                </pic:pic>
              </a:graphicData>
            </a:graphic>
          </wp:inline>
        </w:drawing>
      </w:r>
    </w:p>
    <w:p>
      <w:pPr>
        <w:pStyle w:val="ImageCaption"/>
      </w:pPr>
      <w:r>
        <w:t xml:space="preserve">Просмотр полного описания</w:t>
      </w:r>
    </w:p>
    <w:bookmarkEnd w:id="441"/>
    <w:bookmarkStart w:id="448" w:name="аннотация"/>
    <w:p>
      <w:pPr>
        <w:pStyle w:val="Heading3"/>
      </w:pPr>
      <w:r>
        <w:t xml:space="preserve">3. Аннотация</w:t>
      </w:r>
    </w:p>
    <w:p>
      <w:pPr>
        <w:pStyle w:val="Compact"/>
        <w:numPr>
          <w:ilvl w:val="0"/>
          <w:numId w:val="1126"/>
        </w:numPr>
      </w:pPr>
      <w:r>
        <w:t xml:space="preserve">Отметьте запись, для которой нужно просмотреть аннотацию. Пока запись не выбрана, кнопка</w:t>
      </w:r>
      <w:r>
        <w:t xml:space="preserve"> </w:t>
      </w:r>
      <w:r>
        <w:rPr>
          <w:rStyle w:val="VerbatimChar"/>
        </w:rPr>
        <w:t xml:space="preserve">Аннотация</w:t>
      </w:r>
      <w:r>
        <w:t xml:space="preserve"> </w:t>
      </w:r>
      <w:r>
        <w:t xml:space="preserve">скрыта.</w:t>
      </w:r>
    </w:p>
    <w:p>
      <w:pPr>
        <w:pStyle w:val="Compact"/>
        <w:numPr>
          <w:ilvl w:val="0"/>
          <w:numId w:val="1126"/>
        </w:numPr>
      </w:pPr>
      <w:r>
        <w:t xml:space="preserve">Нажмите кнопку</w:t>
      </w:r>
      <w:r>
        <w:t xml:space="preserve"> </w:t>
      </w:r>
      <w:r>
        <w:rPr>
          <w:rStyle w:val="VerbatimChar"/>
        </w:rPr>
        <w:t xml:space="preserve">Аннотация</w:t>
      </w:r>
      <w:r>
        <w:t xml:space="preserve">.</w:t>
      </w:r>
    </w:p>
    <w:p>
      <w:pPr>
        <w:pStyle w:val="CaptionedFigure"/>
      </w:pPr>
      <w:r>
        <w:drawing>
          <wp:inline>
            <wp:extent cx="5334000" cy="2519597"/>
            <wp:effectExtent b="0" l="0" r="0" t="0"/>
            <wp:docPr descr="Вызов аннотации записи" title="" id="443" name="Picture"/>
            <a:graphic>
              <a:graphicData uri="http://schemas.openxmlformats.org/drawingml/2006/picture">
                <pic:pic>
                  <pic:nvPicPr>
                    <pic:cNvPr descr="modules/Cataloguer/Help/CataloguerGuide/RecordDetailsActions03.png" id="444" name="Picture"/>
                    <pic:cNvPicPr>
                      <a:picLocks noChangeArrowheads="1" noChangeAspect="1"/>
                    </pic:cNvPicPr>
                  </pic:nvPicPr>
                  <pic:blipFill>
                    <a:blip r:embed="rId442"/>
                    <a:stretch>
                      <a:fillRect/>
                    </a:stretch>
                  </pic:blipFill>
                  <pic:spPr bwMode="auto">
                    <a:xfrm>
                      <a:off x="0" y="0"/>
                      <a:ext cx="5334000" cy="2519597"/>
                    </a:xfrm>
                    <a:prstGeom prst="rect">
                      <a:avLst/>
                    </a:prstGeom>
                    <a:noFill/>
                    <a:ln w="9525">
                      <a:noFill/>
                      <a:headEnd/>
                      <a:tailEnd/>
                    </a:ln>
                  </pic:spPr>
                </pic:pic>
              </a:graphicData>
            </a:graphic>
          </wp:inline>
        </w:drawing>
      </w:r>
    </w:p>
    <w:p>
      <w:pPr>
        <w:pStyle w:val="ImageCaption"/>
      </w:pPr>
      <w:r>
        <w:t xml:space="preserve">Вызов аннотации записи</w:t>
      </w:r>
    </w:p>
    <w:p>
      <w:pPr>
        <w:pStyle w:val="Compact"/>
        <w:numPr>
          <w:ilvl w:val="0"/>
          <w:numId w:val="1127"/>
        </w:numPr>
      </w:pPr>
      <w:r>
        <w:t xml:space="preserve">Аннотация откроется во всплывающем окне.</w:t>
      </w:r>
    </w:p>
    <w:p>
      <w:pPr>
        <w:pStyle w:val="CaptionedFigure"/>
      </w:pPr>
      <w:r>
        <w:drawing>
          <wp:inline>
            <wp:extent cx="5334000" cy="2977804"/>
            <wp:effectExtent b="0" l="0" r="0" t="0"/>
            <wp:docPr descr="Аннотация записи" title="" id="446" name="Picture"/>
            <a:graphic>
              <a:graphicData uri="http://schemas.openxmlformats.org/drawingml/2006/picture">
                <pic:pic>
                  <pic:nvPicPr>
                    <pic:cNvPr descr="modules/Cataloguer/Help/CataloguerGuide/RecordDetailsActions04.png" id="447" name="Picture"/>
                    <pic:cNvPicPr>
                      <a:picLocks noChangeArrowheads="1" noChangeAspect="1"/>
                    </pic:cNvPicPr>
                  </pic:nvPicPr>
                  <pic:blipFill>
                    <a:blip r:embed="rId445"/>
                    <a:stretch>
                      <a:fillRect/>
                    </a:stretch>
                  </pic:blipFill>
                  <pic:spPr bwMode="auto">
                    <a:xfrm>
                      <a:off x="0" y="0"/>
                      <a:ext cx="5334000" cy="2977804"/>
                    </a:xfrm>
                    <a:prstGeom prst="rect">
                      <a:avLst/>
                    </a:prstGeom>
                    <a:noFill/>
                    <a:ln w="9525">
                      <a:noFill/>
                      <a:headEnd/>
                      <a:tailEnd/>
                    </a:ln>
                  </pic:spPr>
                </pic:pic>
              </a:graphicData>
            </a:graphic>
          </wp:inline>
        </w:drawing>
      </w:r>
    </w:p>
    <w:p>
      <w:pPr>
        <w:pStyle w:val="ImageCaption"/>
      </w:pPr>
      <w:r>
        <w:t xml:space="preserve">Аннотация записи</w:t>
      </w:r>
    </w:p>
    <w:bookmarkEnd w:id="448"/>
    <w:bookmarkStart w:id="449" w:name="содержание"/>
    <w:p>
      <w:pPr>
        <w:pStyle w:val="Heading3"/>
      </w:pPr>
      <w:r>
        <w:t xml:space="preserve">4. Содержание</w:t>
      </w:r>
    </w:p>
    <w:p>
      <w:pPr>
        <w:pStyle w:val="FirstParagraph"/>
      </w:pPr>
      <w:r>
        <w:t xml:space="preserve">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w:t>
      </w:r>
    </w:p>
    <w:p>
      <w:pPr>
        <w:pStyle w:val="Compact"/>
        <w:numPr>
          <w:ilvl w:val="0"/>
          <w:numId w:val="1128"/>
        </w:numPr>
      </w:pPr>
      <w:r>
        <w:t xml:space="preserve">Отметьте запись, для которой нужно просмотреть содержание или оглавление.</w:t>
      </w:r>
    </w:p>
    <w:p>
      <w:pPr>
        <w:pStyle w:val="Compact"/>
        <w:numPr>
          <w:ilvl w:val="0"/>
          <w:numId w:val="1128"/>
        </w:numPr>
      </w:pPr>
      <w:r>
        <w:t xml:space="preserve">Нажмите кнопку</w:t>
      </w:r>
      <w:r>
        <w:t xml:space="preserve"> </w:t>
      </w:r>
      <w:r>
        <w:rPr>
          <w:rStyle w:val="VerbatimChar"/>
        </w:rPr>
        <w:t xml:space="preserve">Содержание</w:t>
      </w:r>
      <w:r>
        <w:t xml:space="preserve">.</w:t>
      </w:r>
    </w:p>
    <w:p>
      <w:pPr>
        <w:pStyle w:val="Compact"/>
        <w:numPr>
          <w:ilvl w:val="0"/>
          <w:numId w:val="1128"/>
        </w:numPr>
      </w:pPr>
      <w:r>
        <w:t xml:space="preserve">Если в записи заполнены данные содержания, они откроются во всплывающем окне.</w:t>
      </w:r>
    </w:p>
    <w:bookmarkEnd w:id="449"/>
    <w:bookmarkStart w:id="456" w:name="ключевые-слова"/>
    <w:p>
      <w:pPr>
        <w:pStyle w:val="Heading3"/>
      </w:pPr>
      <w:r>
        <w:t xml:space="preserve">5. Ключевые слова</w:t>
      </w:r>
    </w:p>
    <w:p>
      <w:pPr>
        <w:pStyle w:val="Compact"/>
        <w:numPr>
          <w:ilvl w:val="0"/>
          <w:numId w:val="1129"/>
        </w:numPr>
      </w:pPr>
      <w:r>
        <w:t xml:space="preserve">Отметьте запись, для которой нужно просмотреть ключевые слова.</w:t>
      </w:r>
    </w:p>
    <w:p>
      <w:pPr>
        <w:pStyle w:val="Compact"/>
        <w:numPr>
          <w:ilvl w:val="0"/>
          <w:numId w:val="1129"/>
        </w:numPr>
      </w:pPr>
      <w:r>
        <w:t xml:space="preserve">Нажмите кнопку</w:t>
      </w:r>
      <w:r>
        <w:t xml:space="preserve"> </w:t>
      </w:r>
      <w:r>
        <w:rPr>
          <w:rStyle w:val="VerbatimChar"/>
        </w:rPr>
        <w:t xml:space="preserve">Ключевые слова</w:t>
      </w:r>
      <w:r>
        <w:t xml:space="preserve">. Если кнопка не появилась после выбора записи, у выбранной записи нет заполненных ключевых слов.</w:t>
      </w:r>
    </w:p>
    <w:p>
      <w:pPr>
        <w:pStyle w:val="CaptionedFigure"/>
      </w:pPr>
      <w:r>
        <w:drawing>
          <wp:inline>
            <wp:extent cx="5334000" cy="2515666"/>
            <wp:effectExtent b="0" l="0" r="0" t="0"/>
            <wp:docPr descr="Вызов просмотра ключевых слов" title="" id="451" name="Picture"/>
            <a:graphic>
              <a:graphicData uri="http://schemas.openxmlformats.org/drawingml/2006/picture">
                <pic:pic>
                  <pic:nvPicPr>
                    <pic:cNvPr descr="modules/Cataloguer/Help/CataloguerGuide/RecordDetailsActions05.png" id="452" name="Picture"/>
                    <pic:cNvPicPr>
                      <a:picLocks noChangeArrowheads="1" noChangeAspect="1"/>
                    </pic:cNvPicPr>
                  </pic:nvPicPr>
                  <pic:blipFill>
                    <a:blip r:embed="rId450"/>
                    <a:stretch>
                      <a:fillRect/>
                    </a:stretch>
                  </pic:blipFill>
                  <pic:spPr bwMode="auto">
                    <a:xfrm>
                      <a:off x="0" y="0"/>
                      <a:ext cx="5334000" cy="2515666"/>
                    </a:xfrm>
                    <a:prstGeom prst="rect">
                      <a:avLst/>
                    </a:prstGeom>
                    <a:noFill/>
                    <a:ln w="9525">
                      <a:noFill/>
                      <a:headEnd/>
                      <a:tailEnd/>
                    </a:ln>
                  </pic:spPr>
                </pic:pic>
              </a:graphicData>
            </a:graphic>
          </wp:inline>
        </w:drawing>
      </w:r>
    </w:p>
    <w:p>
      <w:pPr>
        <w:pStyle w:val="ImageCaption"/>
      </w:pPr>
      <w:r>
        <w:t xml:space="preserve">Вызов просмотра ключевых слов</w:t>
      </w:r>
    </w:p>
    <w:p>
      <w:pPr>
        <w:pStyle w:val="Compact"/>
        <w:numPr>
          <w:ilvl w:val="0"/>
          <w:numId w:val="1130"/>
        </w:numPr>
      </w:pPr>
      <w:r>
        <w:t xml:space="preserve">В открывшемся окне выберите одно или несколько ключевых слов.</w:t>
      </w:r>
    </w:p>
    <w:p>
      <w:pPr>
        <w:pStyle w:val="Compact"/>
        <w:numPr>
          <w:ilvl w:val="0"/>
          <w:numId w:val="1130"/>
        </w:numPr>
      </w:pPr>
      <w:r>
        <w:t xml:space="preserve">При необходимости нажмите кнопку поиска по ключевым словам, чтобы найти другие записи с выбранными ключевыми словами.</w:t>
      </w:r>
    </w:p>
    <w:p>
      <w:pPr>
        <w:pStyle w:val="CaptionedFigure"/>
      </w:pPr>
      <w:r>
        <w:drawing>
          <wp:inline>
            <wp:extent cx="5334000" cy="2975186"/>
            <wp:effectExtent b="0" l="0" r="0" t="0"/>
            <wp:docPr descr="Выбор ключевых слов и поиск по ним" title="" id="454" name="Picture"/>
            <a:graphic>
              <a:graphicData uri="http://schemas.openxmlformats.org/drawingml/2006/picture">
                <pic:pic>
                  <pic:nvPicPr>
                    <pic:cNvPr descr="modules/Cataloguer/Help/CataloguerGuide/RecordDetailsActions06.png" id="455" name="Picture"/>
                    <pic:cNvPicPr>
                      <a:picLocks noChangeArrowheads="1" noChangeAspect="1"/>
                    </pic:cNvPicPr>
                  </pic:nvPicPr>
                  <pic:blipFill>
                    <a:blip r:embed="rId453"/>
                    <a:stretch>
                      <a:fillRect/>
                    </a:stretch>
                  </pic:blipFill>
                  <pic:spPr bwMode="auto">
                    <a:xfrm>
                      <a:off x="0" y="0"/>
                      <a:ext cx="5334000" cy="2975186"/>
                    </a:xfrm>
                    <a:prstGeom prst="rect">
                      <a:avLst/>
                    </a:prstGeom>
                    <a:noFill/>
                    <a:ln w="9525">
                      <a:noFill/>
                      <a:headEnd/>
                      <a:tailEnd/>
                    </a:ln>
                  </pic:spPr>
                </pic:pic>
              </a:graphicData>
            </a:graphic>
          </wp:inline>
        </w:drawing>
      </w:r>
    </w:p>
    <w:p>
      <w:pPr>
        <w:pStyle w:val="ImageCaption"/>
      </w:pPr>
      <w:r>
        <w:t xml:space="preserve">Выбор ключевых слов и поиск по ним</w:t>
      </w:r>
    </w:p>
    <w:bookmarkEnd w:id="456"/>
    <w:bookmarkStart w:id="463" w:name="систематические-шифры"/>
    <w:p>
      <w:pPr>
        <w:pStyle w:val="Heading3"/>
      </w:pPr>
      <w:r>
        <w:t xml:space="preserve">6. Систематические шифры</w:t>
      </w:r>
    </w:p>
    <w:p>
      <w:pPr>
        <w:pStyle w:val="FirstParagraph"/>
      </w:pPr>
      <w:r>
        <w:t xml:space="preserve">Пока запись не выбрана, кнопка</w:t>
      </w:r>
      <w:r>
        <w:t xml:space="preserve"> </w:t>
      </w:r>
      <w:r>
        <w:rPr>
          <w:rStyle w:val="VerbatimChar"/>
        </w:rPr>
        <w:t xml:space="preserve">Систематические шифры</w:t>
      </w:r>
      <w:r>
        <w:t xml:space="preserve"> </w:t>
      </w:r>
      <w:r>
        <w:t xml:space="preserve">скрыта. Если выбранная запись не содержит систематических индексов, действие также может не отображаться.</w:t>
      </w:r>
    </w:p>
    <w:p>
      <w:pPr>
        <w:pStyle w:val="Compact"/>
        <w:numPr>
          <w:ilvl w:val="0"/>
          <w:numId w:val="1131"/>
        </w:numPr>
      </w:pPr>
      <w:r>
        <w:t xml:space="preserve">Отметьте запись, для которой нужно просмотреть систематические шифры.</w:t>
      </w:r>
    </w:p>
    <w:p>
      <w:pPr>
        <w:pStyle w:val="Compact"/>
        <w:numPr>
          <w:ilvl w:val="0"/>
          <w:numId w:val="1131"/>
        </w:numPr>
      </w:pPr>
      <w:r>
        <w:t xml:space="preserve">Нажмите кнопку</w:t>
      </w:r>
      <w:r>
        <w:t xml:space="preserve"> </w:t>
      </w:r>
      <w:r>
        <w:rPr>
          <w:rStyle w:val="VerbatimChar"/>
        </w:rPr>
        <w:t xml:space="preserve">Систематические шифры</w:t>
      </w:r>
      <w:r>
        <w:t xml:space="preserve">.</w:t>
      </w:r>
    </w:p>
    <w:p>
      <w:pPr>
        <w:pStyle w:val="CaptionedFigure"/>
      </w:pPr>
      <w:r>
        <w:drawing>
          <wp:inline>
            <wp:extent cx="5334000" cy="2530988"/>
            <wp:effectExtent b="0" l="0" r="0" t="0"/>
            <wp:docPr descr="Вызов просмотра систематических шифров" title="" id="458" name="Picture"/>
            <a:graphic>
              <a:graphicData uri="http://schemas.openxmlformats.org/drawingml/2006/picture">
                <pic:pic>
                  <pic:nvPicPr>
                    <pic:cNvPr descr="modules/Cataloguer/Help/CataloguerGuide/RecordDetailsActions07.png" id="459" name="Picture"/>
                    <pic:cNvPicPr>
                      <a:picLocks noChangeArrowheads="1" noChangeAspect="1"/>
                    </pic:cNvPicPr>
                  </pic:nvPicPr>
                  <pic:blipFill>
                    <a:blip r:embed="rId457"/>
                    <a:stretch>
                      <a:fillRect/>
                    </a:stretch>
                  </pic:blipFill>
                  <pic:spPr bwMode="auto">
                    <a:xfrm>
                      <a:off x="0" y="0"/>
                      <a:ext cx="5334000" cy="2530988"/>
                    </a:xfrm>
                    <a:prstGeom prst="rect">
                      <a:avLst/>
                    </a:prstGeom>
                    <a:noFill/>
                    <a:ln w="9525">
                      <a:noFill/>
                      <a:headEnd/>
                      <a:tailEnd/>
                    </a:ln>
                  </pic:spPr>
                </pic:pic>
              </a:graphicData>
            </a:graphic>
          </wp:inline>
        </w:drawing>
      </w:r>
    </w:p>
    <w:p>
      <w:pPr>
        <w:pStyle w:val="ImageCaption"/>
      </w:pPr>
      <w:r>
        <w:t xml:space="preserve">Вызов просмотра систематических шифров</w:t>
      </w:r>
    </w:p>
    <w:p>
      <w:pPr>
        <w:pStyle w:val="Compact"/>
        <w:numPr>
          <w:ilvl w:val="0"/>
          <w:numId w:val="1132"/>
        </w:numPr>
      </w:pPr>
      <w:r>
        <w:t xml:space="preserve">Список систематических шифров откроется во всплывающем окне.</w:t>
      </w:r>
    </w:p>
    <w:p>
      <w:pPr>
        <w:pStyle w:val="CaptionedFigure"/>
      </w:pPr>
      <w:r>
        <w:drawing>
          <wp:inline>
            <wp:extent cx="5334000" cy="2960696"/>
            <wp:effectExtent b="0" l="0" r="0" t="0"/>
            <wp:docPr descr="Просмотр систематических шифров" title="" id="461" name="Picture"/>
            <a:graphic>
              <a:graphicData uri="http://schemas.openxmlformats.org/drawingml/2006/picture">
                <pic:pic>
                  <pic:nvPicPr>
                    <pic:cNvPr descr="modules/Cataloguer/Help/CataloguerGuide/RecordDetailsActions08.png" id="462" name="Picture"/>
                    <pic:cNvPicPr>
                      <a:picLocks noChangeArrowheads="1" noChangeAspect="1"/>
                    </pic:cNvPicPr>
                  </pic:nvPicPr>
                  <pic:blipFill>
                    <a:blip r:embed="rId460"/>
                    <a:stretch>
                      <a:fillRect/>
                    </a:stretch>
                  </pic:blipFill>
                  <pic:spPr bwMode="auto">
                    <a:xfrm>
                      <a:off x="0" y="0"/>
                      <a:ext cx="5334000" cy="2960696"/>
                    </a:xfrm>
                    <a:prstGeom prst="rect">
                      <a:avLst/>
                    </a:prstGeom>
                    <a:noFill/>
                    <a:ln w="9525">
                      <a:noFill/>
                      <a:headEnd/>
                      <a:tailEnd/>
                    </a:ln>
                  </pic:spPr>
                </pic:pic>
              </a:graphicData>
            </a:graphic>
          </wp:inline>
        </w:drawing>
      </w:r>
    </w:p>
    <w:p>
      <w:pPr>
        <w:pStyle w:val="ImageCaption"/>
      </w:pPr>
      <w:r>
        <w:t xml:space="preserve">Просмотр систематических шифров</w:t>
      </w:r>
    </w:p>
    <w:bookmarkEnd w:id="463"/>
    <w:bookmarkStart w:id="464" w:name="держатели-документа"/>
    <w:p>
      <w:pPr>
        <w:pStyle w:val="Heading3"/>
      </w:pPr>
      <w:r>
        <w:t xml:space="preserve">7. Держатели документа</w:t>
      </w:r>
    </w:p>
    <w:p>
      <w:pPr>
        <w:pStyle w:val="FirstParagraph"/>
      </w:pPr>
      <w:r>
        <w:t xml:space="preserve">Кнопка</w:t>
      </w:r>
      <w:r>
        <w:t xml:space="preserve"> </w:t>
      </w:r>
      <w:r>
        <w:rPr>
          <w:rStyle w:val="VerbatimChar"/>
        </w:rPr>
        <w:t xml:space="preserve">Держатели документа</w:t>
      </w:r>
      <w:r>
        <w:t xml:space="preserve"> </w:t>
      </w:r>
      <w:r>
        <w:t xml:space="preserve">находится на панели действий области</w:t>
      </w:r>
      <w:r>
        <w:t xml:space="preserve"> </w:t>
      </w:r>
      <w:r>
        <w:rPr>
          <w:rStyle w:val="VerbatimChar"/>
        </w:rPr>
        <w:t xml:space="preserve">Результаты поиска</w:t>
      </w:r>
      <w:r>
        <w:t xml:space="preserve">. Она показывается после выбора сводной библиографической записи и скрывается, если запись не выделена или выбранная строка не является сводной записью.</w:t>
      </w:r>
    </w:p>
    <w:p>
      <w:pPr>
        <w:pStyle w:val="Compact"/>
        <w:numPr>
          <w:ilvl w:val="0"/>
          <w:numId w:val="1133"/>
        </w:numPr>
      </w:pPr>
      <w:r>
        <w:t xml:space="preserve">Найдите документ в электронном каталоге.</w:t>
      </w:r>
    </w:p>
    <w:p>
      <w:pPr>
        <w:pStyle w:val="Compact"/>
        <w:numPr>
          <w:ilvl w:val="0"/>
          <w:numId w:val="1133"/>
        </w:numPr>
      </w:pPr>
      <w:r>
        <w:t xml:space="preserve">Отметьте нужную запись в области</w:t>
      </w:r>
      <w:r>
        <w:t xml:space="preserve"> </w:t>
      </w:r>
      <w:r>
        <w:rPr>
          <w:rStyle w:val="VerbatimChar"/>
        </w:rPr>
        <w:t xml:space="preserve">Результаты поиска</w:t>
      </w:r>
      <w:r>
        <w:t xml:space="preserve">.</w:t>
      </w:r>
    </w:p>
    <w:p>
      <w:pPr>
        <w:pStyle w:val="Compact"/>
        <w:numPr>
          <w:ilvl w:val="0"/>
          <w:numId w:val="1133"/>
        </w:numPr>
      </w:pPr>
      <w:r>
        <w:t xml:space="preserve">Нажмите кнопку</w:t>
      </w:r>
      <w:r>
        <w:t xml:space="preserve"> </w:t>
      </w:r>
      <w:r>
        <w:rPr>
          <w:rStyle w:val="VerbatimChar"/>
        </w:rPr>
        <w:t xml:space="preserve">Держатели документа</w:t>
      </w:r>
      <w:r>
        <w:t xml:space="preserve">.</w:t>
      </w:r>
    </w:p>
    <w:p>
      <w:pPr>
        <w:pStyle w:val="FirstParagraph"/>
      </w:pPr>
      <w:r>
        <w:t xml:space="preserve">Откроется окно</w:t>
      </w:r>
      <w:r>
        <w:t xml:space="preserve"> </w:t>
      </w:r>
      <w:r>
        <w:rPr>
          <w:rStyle w:val="VerbatimChar"/>
        </w:rPr>
        <w:t xml:space="preserve">Держатели документа</w:t>
      </w:r>
      <w:r>
        <w:t xml:space="preserve"> </w:t>
      </w:r>
      <w:r>
        <w:t xml:space="preserve">со сведениями из поля</w:t>
      </w:r>
      <w:r>
        <w:t xml:space="preserve"> </w:t>
      </w:r>
      <w:r>
        <w:rPr>
          <w:rStyle w:val="VerbatimChar"/>
        </w:rPr>
        <w:t xml:space="preserve">902</w:t>
      </w:r>
      <w:r>
        <w:t xml:space="preserve"> </w:t>
      </w:r>
      <w:r>
        <w:t xml:space="preserve">выбранной записи. В таблице отображаются:</w:t>
      </w:r>
    </w:p>
    <w:p>
      <w:pPr>
        <w:pStyle w:val="Compact"/>
        <w:numPr>
          <w:ilvl w:val="0"/>
          <w:numId w:val="1134"/>
        </w:numPr>
      </w:pPr>
      <w:r>
        <w:t xml:space="preserve">наименование организации;</w:t>
      </w:r>
    </w:p>
    <w:p>
      <w:pPr>
        <w:pStyle w:val="Compact"/>
        <w:numPr>
          <w:ilvl w:val="0"/>
          <w:numId w:val="1134"/>
        </w:numPr>
      </w:pPr>
      <w:r>
        <w:t xml:space="preserve">почтовый адрес;</w:t>
      </w:r>
    </w:p>
    <w:p>
      <w:pPr>
        <w:pStyle w:val="Compact"/>
        <w:numPr>
          <w:ilvl w:val="0"/>
          <w:numId w:val="1134"/>
        </w:numPr>
      </w:pPr>
      <w:r>
        <w:t xml:space="preserve">адрес телекоммуникаций;</w:t>
      </w:r>
    </w:p>
    <w:p>
      <w:pPr>
        <w:pStyle w:val="Compact"/>
        <w:numPr>
          <w:ilvl w:val="0"/>
          <w:numId w:val="1134"/>
        </w:numPr>
      </w:pPr>
      <w:r>
        <w:t xml:space="preserve">сигла, то есть национальный код организации;</w:t>
      </w:r>
    </w:p>
    <w:p>
      <w:pPr>
        <w:pStyle w:val="Compact"/>
        <w:numPr>
          <w:ilvl w:val="0"/>
          <w:numId w:val="1134"/>
        </w:numPr>
      </w:pPr>
      <w:r>
        <w:t xml:space="preserve">БД-источник записи;</w:t>
      </w:r>
    </w:p>
    <w:p>
      <w:pPr>
        <w:pStyle w:val="Compact"/>
        <w:numPr>
          <w:ilvl w:val="0"/>
          <w:numId w:val="1134"/>
        </w:numPr>
      </w:pPr>
      <w:r>
        <w:t xml:space="preserve">шифр записи-источника.</w:t>
      </w:r>
    </w:p>
    <w:p>
      <w:pPr>
        <w:pStyle w:val="FirstParagraph"/>
      </w:pPr>
      <w:r>
        <w:t xml:space="preserve">Если строка связана с организацией или записью-источником, в окне могут быть доступны дополнительные действия: просмотр информации об организации, переход к записи-источнику и, для пользователей с правом редактирования БД сводного каталога, выделение записи-источника в самостоятельную запись.</w:t>
      </w:r>
    </w:p>
    <w:bookmarkEnd w:id="464"/>
    <w:bookmarkEnd w:id="465"/>
    <w:bookmarkStart w:id="483" w:name="работа-с-корзиной-записей"/>
    <w:p>
      <w:pPr>
        <w:pStyle w:val="Heading2"/>
      </w:pPr>
      <w:r>
        <w:t xml:space="preserve">Работа с корзиной записей</w:t>
      </w:r>
    </w:p>
    <w:p>
      <w:pPr>
        <w:pStyle w:val="FirstParagraph"/>
      </w:pPr>
      <w:r>
        <w:t xml:space="preserve">Раздел подготовлен по материалам старого документа «АРМ Каталогизатор 128».</w:t>
      </w:r>
    </w:p>
    <w:bookmarkStart w:id="466" w:name="назначение-11"/>
    <w:p>
      <w:pPr>
        <w:pStyle w:val="Heading3"/>
      </w:pPr>
      <w:r>
        <w:t xml:space="preserve">1. Назначение</w:t>
      </w:r>
    </w:p>
    <w:p>
      <w:pPr>
        <w:pStyle w:val="FirstParagraph"/>
      </w:pPr>
      <w:r>
        <w:t xml:space="preserve">Корзина используется для временного набора найденных записей, с которыми пользователь планирует выполнить дальнейшие действия.</w:t>
      </w:r>
    </w:p>
    <w:bookmarkEnd w:id="466"/>
    <w:bookmarkStart w:id="467" w:name="хранение-и-совместимость-карманов"/>
    <w:p>
      <w:pPr>
        <w:pStyle w:val="Heading3"/>
      </w:pPr>
      <w:r>
        <w:t xml:space="preserve">2. Хранение и совместимость карманов</w:t>
      </w:r>
    </w:p>
    <w:p>
      <w:pPr>
        <w:pStyle w:val="FirstParagraph"/>
      </w:pPr>
      <w:r>
        <w:t xml:space="preserve">В этом разделе карманом называется сохраненное содержимое корзины записей.</w:t>
      </w:r>
    </w:p>
    <w:p>
      <w:pPr>
        <w:pStyle w:val="BodyText"/>
      </w:pPr>
      <w:r>
        <w:t xml:space="preserve">Новые сохраненные карманы хранят состав как список</w:t>
      </w:r>
      <w:r>
        <w:t xml:space="preserve"> </w:t>
      </w:r>
      <w:r>
        <w:rPr>
          <w:rStyle w:val="VerbatimChar"/>
        </w:rPr>
        <w:t xml:space="preserve">GUID</w:t>
      </w:r>
      <w:r>
        <w:t xml:space="preserve"> </w:t>
      </w:r>
      <w:r>
        <w:t xml:space="preserve">соответствующих документов. Такой формат не привязывает карман только к текущим номерам</w:t>
      </w:r>
      <w:r>
        <w:t xml:space="preserve"> </w:t>
      </w:r>
      <w:r>
        <w:rPr>
          <w:rStyle w:val="VerbatimChar"/>
        </w:rPr>
        <w:t xml:space="preserve">MFN</w:t>
      </w:r>
      <w:r>
        <w:t xml:space="preserve"> </w:t>
      </w:r>
      <w:r>
        <w:t xml:space="preserve">записей.</w:t>
      </w:r>
    </w:p>
    <w:p>
      <w:pPr>
        <w:pStyle w:val="BodyText"/>
      </w:pPr>
      <w:r>
        <w:t xml:space="preserve">Ранее созданные карманы, в которых сохранен список</w:t>
      </w:r>
      <w:r>
        <w:t xml:space="preserve"> </w:t>
      </w:r>
      <w:r>
        <w:rPr>
          <w:rStyle w:val="VerbatimChar"/>
        </w:rPr>
        <w:t xml:space="preserve">MFN</w:t>
      </w:r>
      <w:r>
        <w:t xml:space="preserve">, продолжают поддерживаться. Их можно открывать и использовать в том же порядке работы с корзиной, без ручной конвертации файла кармана.</w:t>
      </w:r>
    </w:p>
    <w:bookmarkEnd w:id="467"/>
    <w:bookmarkStart w:id="474" w:name="добавление-записей-в-корзину"/>
    <w:p>
      <w:pPr>
        <w:pStyle w:val="Heading3"/>
      </w:pPr>
      <w:r>
        <w:t xml:space="preserve">3. Добавление записей в корзину</w:t>
      </w:r>
    </w:p>
    <w:p>
      <w:pPr>
        <w:pStyle w:val="Compact"/>
        <w:numPr>
          <w:ilvl w:val="0"/>
          <w:numId w:val="1135"/>
        </w:numPr>
      </w:pPr>
      <w:r>
        <w:t xml:space="preserve">Выполните поиск записей в базе данных.</w:t>
      </w:r>
    </w:p>
    <w:p>
      <w:pPr>
        <w:pStyle w:val="Compact"/>
        <w:numPr>
          <w:ilvl w:val="0"/>
          <w:numId w:val="1135"/>
        </w:numPr>
      </w:pPr>
      <w:r>
        <w:t xml:space="preserve">В области</w:t>
      </w:r>
      <w:r>
        <w:t xml:space="preserve"> </w:t>
      </w:r>
      <w:r>
        <w:rPr>
          <w:rStyle w:val="VerbatimChar"/>
        </w:rPr>
        <w:t xml:space="preserve">Результаты поиска</w:t>
      </w:r>
      <w:r>
        <w:t xml:space="preserve"> </w:t>
      </w:r>
      <w:r>
        <w:t xml:space="preserve">отметьте одну или несколько записей.</w:t>
      </w:r>
    </w:p>
    <w:p>
      <w:pPr>
        <w:pStyle w:val="Compact"/>
        <w:numPr>
          <w:ilvl w:val="0"/>
          <w:numId w:val="1135"/>
        </w:numPr>
      </w:pPr>
      <w:r>
        <w:t xml:space="preserve">Нажмите кнопку</w:t>
      </w:r>
      <w:r>
        <w:t xml:space="preserve"> </w:t>
      </w:r>
      <w:r>
        <w:rPr>
          <w:rStyle w:val="VerbatimChar"/>
        </w:rPr>
        <w:t xml:space="preserve">Добавить в корзину</w:t>
      </w:r>
      <w:r>
        <w:t xml:space="preserve">.</w:t>
      </w:r>
    </w:p>
    <w:p>
      <w:pPr>
        <w:pStyle w:val="CaptionedFigure"/>
      </w:pPr>
      <w:r>
        <w:drawing>
          <wp:inline>
            <wp:extent cx="5334000" cy="2364099"/>
            <wp:effectExtent b="0" l="0" r="0" t="0"/>
            <wp:docPr descr="Добавление записи в корзину" title="" id="469" name="Picture"/>
            <a:graphic>
              <a:graphicData uri="http://schemas.openxmlformats.org/drawingml/2006/picture">
                <pic:pic>
                  <pic:nvPicPr>
                    <pic:cNvPr descr="modules/Cataloguer/Help/CataloguerGuide/BasketActions01.png" id="470" name="Picture"/>
                    <pic:cNvPicPr>
                      <a:picLocks noChangeArrowheads="1" noChangeAspect="1"/>
                    </pic:cNvPicPr>
                  </pic:nvPicPr>
                  <pic:blipFill>
                    <a:blip r:embed="rId468"/>
                    <a:stretch>
                      <a:fillRect/>
                    </a:stretch>
                  </pic:blipFill>
                  <pic:spPr bwMode="auto">
                    <a:xfrm>
                      <a:off x="0" y="0"/>
                      <a:ext cx="5334000" cy="2364099"/>
                    </a:xfrm>
                    <a:prstGeom prst="rect">
                      <a:avLst/>
                    </a:prstGeom>
                    <a:noFill/>
                    <a:ln w="9525">
                      <a:noFill/>
                      <a:headEnd/>
                      <a:tailEnd/>
                    </a:ln>
                  </pic:spPr>
                </pic:pic>
              </a:graphicData>
            </a:graphic>
          </wp:inline>
        </w:drawing>
      </w:r>
    </w:p>
    <w:p>
      <w:pPr>
        <w:pStyle w:val="ImageCaption"/>
      </w:pPr>
      <w:r>
        <w:t xml:space="preserve">Добавление записи в корзину</w:t>
      </w:r>
    </w:p>
    <w:p>
      <w:pPr>
        <w:pStyle w:val="Compact"/>
        <w:numPr>
          <w:ilvl w:val="0"/>
          <w:numId w:val="1136"/>
        </w:numPr>
      </w:pPr>
      <w:r>
        <w:t xml:space="preserve">В окне выбора уточните, какие записи нужно добавить.</w:t>
      </w:r>
    </w:p>
    <w:p>
      <w:pPr>
        <w:pStyle w:val="Compact"/>
        <w:numPr>
          <w:ilvl w:val="0"/>
          <w:numId w:val="1136"/>
        </w:numPr>
      </w:pPr>
      <w:r>
        <w:t xml:space="preserve">Нажмите</w:t>
      </w:r>
      <w:r>
        <w:t xml:space="preserve"> </w:t>
      </w:r>
      <w:r>
        <w:rPr>
          <w:rStyle w:val="VerbatimChar"/>
        </w:rPr>
        <w:t xml:space="preserve">Ok</w:t>
      </w:r>
      <w:r>
        <w:t xml:space="preserve">.</w:t>
      </w:r>
    </w:p>
    <w:p>
      <w:pPr>
        <w:pStyle w:val="CaptionedFigure"/>
      </w:pPr>
      <w:r>
        <w:drawing>
          <wp:inline>
            <wp:extent cx="5334000" cy="1235317"/>
            <wp:effectExtent b="0" l="0" r="0" t="0"/>
            <wp:docPr descr="Выбор записей для добавления в корзину" title="" id="472" name="Picture"/>
            <a:graphic>
              <a:graphicData uri="http://schemas.openxmlformats.org/drawingml/2006/picture">
                <pic:pic>
                  <pic:nvPicPr>
                    <pic:cNvPr descr="modules/Cataloguer/Help/CataloguerGuide/BasketActions02.png" id="473" name="Picture"/>
                    <pic:cNvPicPr>
                      <a:picLocks noChangeArrowheads="1" noChangeAspect="1"/>
                    </pic:cNvPicPr>
                  </pic:nvPicPr>
                  <pic:blipFill>
                    <a:blip r:embed="rId471"/>
                    <a:stretch>
                      <a:fillRect/>
                    </a:stretch>
                  </pic:blipFill>
                  <pic:spPr bwMode="auto">
                    <a:xfrm>
                      <a:off x="0" y="0"/>
                      <a:ext cx="5334000" cy="1235317"/>
                    </a:xfrm>
                    <a:prstGeom prst="rect">
                      <a:avLst/>
                    </a:prstGeom>
                    <a:noFill/>
                    <a:ln w="9525">
                      <a:noFill/>
                      <a:headEnd/>
                      <a:tailEnd/>
                    </a:ln>
                  </pic:spPr>
                </pic:pic>
              </a:graphicData>
            </a:graphic>
          </wp:inline>
        </w:drawing>
      </w:r>
    </w:p>
    <w:p>
      <w:pPr>
        <w:pStyle w:val="ImageCaption"/>
      </w:pPr>
      <w:r>
        <w:t xml:space="preserve">Выбор записей для добавления в корзину</w:t>
      </w:r>
    </w:p>
    <w:bookmarkEnd w:id="474"/>
    <w:bookmarkStart w:id="481" w:name="удаление-записей-из-корзины"/>
    <w:p>
      <w:pPr>
        <w:pStyle w:val="Heading3"/>
      </w:pPr>
      <w:r>
        <w:t xml:space="preserve">4. Удаление записей из корзины</w:t>
      </w:r>
    </w:p>
    <w:p>
      <w:pPr>
        <w:pStyle w:val="Compact"/>
        <w:numPr>
          <w:ilvl w:val="0"/>
          <w:numId w:val="1137"/>
        </w:numPr>
      </w:pPr>
      <w:r>
        <w:t xml:space="preserve">Перейдите на вкладку</w:t>
      </w:r>
      <w:r>
        <w:t xml:space="preserve"> </w:t>
      </w:r>
      <w:r>
        <w:rPr>
          <w:rStyle w:val="VerbatimChar"/>
        </w:rPr>
        <w:t xml:space="preserve">Содержимое корзины</w:t>
      </w:r>
      <w:r>
        <w:t xml:space="preserve"> </w:t>
      </w:r>
      <w:r>
        <w:t xml:space="preserve">в нижней части окна.</w:t>
      </w:r>
    </w:p>
    <w:p>
      <w:pPr>
        <w:pStyle w:val="Compact"/>
        <w:numPr>
          <w:ilvl w:val="0"/>
          <w:numId w:val="1137"/>
        </w:numPr>
      </w:pPr>
      <w:r>
        <w:t xml:space="preserve">Отметьте одну или несколько записей, которые нужно удалить из корзины.</w:t>
      </w:r>
    </w:p>
    <w:p>
      <w:pPr>
        <w:pStyle w:val="Compact"/>
        <w:numPr>
          <w:ilvl w:val="0"/>
          <w:numId w:val="1137"/>
        </w:numPr>
      </w:pPr>
      <w:r>
        <w:t xml:space="preserve">Нажмите кнопку</w:t>
      </w:r>
      <w:r>
        <w:t xml:space="preserve"> </w:t>
      </w:r>
      <w:r>
        <w:rPr>
          <w:rStyle w:val="VerbatimChar"/>
        </w:rPr>
        <w:t xml:space="preserve">Удалить из корзины</w:t>
      </w:r>
      <w:r>
        <w:t xml:space="preserve">.</w:t>
      </w:r>
    </w:p>
    <w:p>
      <w:pPr>
        <w:pStyle w:val="CaptionedFigure"/>
      </w:pPr>
      <w:r>
        <w:drawing>
          <wp:inline>
            <wp:extent cx="5334000" cy="2381110"/>
            <wp:effectExtent b="0" l="0" r="0" t="0"/>
            <wp:docPr descr="Удаление записей из корзины" title="" id="476" name="Picture"/>
            <a:graphic>
              <a:graphicData uri="http://schemas.openxmlformats.org/drawingml/2006/picture">
                <pic:pic>
                  <pic:nvPicPr>
                    <pic:cNvPr descr="modules/Cataloguer/Help/CataloguerGuide/BasketActions03.png" id="477" name="Picture"/>
                    <pic:cNvPicPr>
                      <a:picLocks noChangeArrowheads="1" noChangeAspect="1"/>
                    </pic:cNvPicPr>
                  </pic:nvPicPr>
                  <pic:blipFill>
                    <a:blip r:embed="rId475"/>
                    <a:stretch>
                      <a:fillRect/>
                    </a:stretch>
                  </pic:blipFill>
                  <pic:spPr bwMode="auto">
                    <a:xfrm>
                      <a:off x="0" y="0"/>
                      <a:ext cx="5334000" cy="2381110"/>
                    </a:xfrm>
                    <a:prstGeom prst="rect">
                      <a:avLst/>
                    </a:prstGeom>
                    <a:noFill/>
                    <a:ln w="9525">
                      <a:noFill/>
                      <a:headEnd/>
                      <a:tailEnd/>
                    </a:ln>
                  </pic:spPr>
                </pic:pic>
              </a:graphicData>
            </a:graphic>
          </wp:inline>
        </w:drawing>
      </w:r>
    </w:p>
    <w:p>
      <w:pPr>
        <w:pStyle w:val="ImageCaption"/>
      </w:pPr>
      <w:r>
        <w:t xml:space="preserve">Удаление записей из корзины</w:t>
      </w:r>
    </w:p>
    <w:p>
      <w:pPr>
        <w:pStyle w:val="Compact"/>
        <w:numPr>
          <w:ilvl w:val="0"/>
          <w:numId w:val="1138"/>
        </w:numPr>
      </w:pPr>
      <w:r>
        <w:t xml:space="preserve">В окне выбора уточните, какие записи нужно удалить из корзины.</w:t>
      </w:r>
    </w:p>
    <w:p>
      <w:pPr>
        <w:pStyle w:val="Compact"/>
        <w:numPr>
          <w:ilvl w:val="0"/>
          <w:numId w:val="1138"/>
        </w:numPr>
      </w:pPr>
      <w:r>
        <w:t xml:space="preserve">Нажмите</w:t>
      </w:r>
      <w:r>
        <w:t xml:space="preserve"> </w:t>
      </w:r>
      <w:r>
        <w:rPr>
          <w:rStyle w:val="VerbatimChar"/>
        </w:rPr>
        <w:t xml:space="preserve">Ok</w:t>
      </w:r>
      <w:r>
        <w:t xml:space="preserve">.</w:t>
      </w:r>
    </w:p>
    <w:p>
      <w:pPr>
        <w:pStyle w:val="CaptionedFigure"/>
      </w:pPr>
      <w:r>
        <w:drawing>
          <wp:inline>
            <wp:extent cx="5334000" cy="1255058"/>
            <wp:effectExtent b="0" l="0" r="0" t="0"/>
            <wp:docPr descr="Выбор записей для удаления из корзины" title="" id="479" name="Picture"/>
            <a:graphic>
              <a:graphicData uri="http://schemas.openxmlformats.org/drawingml/2006/picture">
                <pic:pic>
                  <pic:nvPicPr>
                    <pic:cNvPr descr="modules/Cataloguer/Help/CataloguerGuide/BasketActions04.png" id="480" name="Picture"/>
                    <pic:cNvPicPr>
                      <a:picLocks noChangeArrowheads="1" noChangeAspect="1"/>
                    </pic:cNvPicPr>
                  </pic:nvPicPr>
                  <pic:blipFill>
                    <a:blip r:embed="rId478"/>
                    <a:stretch>
                      <a:fillRect/>
                    </a:stretch>
                  </pic:blipFill>
                  <pic:spPr bwMode="auto">
                    <a:xfrm>
                      <a:off x="0" y="0"/>
                      <a:ext cx="5334000" cy="1255058"/>
                    </a:xfrm>
                    <a:prstGeom prst="rect">
                      <a:avLst/>
                    </a:prstGeom>
                    <a:noFill/>
                    <a:ln w="9525">
                      <a:noFill/>
                      <a:headEnd/>
                      <a:tailEnd/>
                    </a:ln>
                  </pic:spPr>
                </pic:pic>
              </a:graphicData>
            </a:graphic>
          </wp:inline>
        </w:drawing>
      </w:r>
    </w:p>
    <w:p>
      <w:pPr>
        <w:pStyle w:val="ImageCaption"/>
      </w:pPr>
      <w:r>
        <w:t xml:space="preserve">Выбор записей для удаления из корзины</w:t>
      </w:r>
    </w:p>
    <w:bookmarkEnd w:id="481"/>
    <w:bookmarkStart w:id="482" w:name="просмотр-корзины"/>
    <w:p>
      <w:pPr>
        <w:pStyle w:val="Heading3"/>
      </w:pPr>
      <w:r>
        <w:t xml:space="preserve">5. Просмотр корзины</w:t>
      </w:r>
    </w:p>
    <w:p>
      <w:pPr>
        <w:pStyle w:val="FirstParagraph"/>
      </w:pPr>
      <w:r>
        <w:t xml:space="preserve">Чтобы просмотреть записи, добавленные в корзину, перейдите на вкладку</w:t>
      </w:r>
      <w:r>
        <w:t xml:space="preserve"> </w:t>
      </w:r>
      <w:r>
        <w:rPr>
          <w:rStyle w:val="VerbatimChar"/>
        </w:rPr>
        <w:t xml:space="preserve">Содержимое корзины</w:t>
      </w:r>
      <w:r>
        <w:t xml:space="preserve"> </w:t>
      </w:r>
      <w:r>
        <w:t xml:space="preserve">на панели навигации в нижней части окна.</w:t>
      </w:r>
    </w:p>
    <w:bookmarkEnd w:id="482"/>
    <w:bookmarkEnd w:id="483"/>
    <w:bookmarkStart w:id="506" w:name="переходы-по-связанным-записям-периодики"/>
    <w:p>
      <w:pPr>
        <w:pStyle w:val="Heading2"/>
      </w:pPr>
      <w:r>
        <w:t xml:space="preserve">Переходы по связанным записям периодики</w:t>
      </w:r>
    </w:p>
    <w:p>
      <w:pPr>
        <w:pStyle w:val="FirstParagraph"/>
      </w:pPr>
      <w:r>
        <w:t xml:space="preserve">Раздел подготовлен по материалам старого документа «АРМ Каталогизатор 128».</w:t>
      </w:r>
    </w:p>
    <w:bookmarkStart w:id="484" w:name="назначение-12"/>
    <w:p>
      <w:pPr>
        <w:pStyle w:val="Heading3"/>
      </w:pPr>
      <w:r>
        <w:t xml:space="preserve">1. Назначение</w:t>
      </w:r>
    </w:p>
    <w:p>
      <w:pPr>
        <w:pStyle w:val="FirstParagraph"/>
      </w:pPr>
      <w:r>
        <w:t xml:space="preserve">Для записей периодических изданий АРМ Каталогизатор позволяет переходить между сводным описанием журнала или газеты, отдельными номерами и статьями выбранного номера.</w:t>
      </w:r>
    </w:p>
    <w:bookmarkEnd w:id="484"/>
    <w:bookmarkStart w:id="491" w:name="от-сводного-описания-к-списку-номеров"/>
    <w:p>
      <w:pPr>
        <w:pStyle w:val="Heading3"/>
      </w:pPr>
      <w:r>
        <w:t xml:space="preserve">2. От сводного описания к списку номеров</w:t>
      </w:r>
    </w:p>
    <w:p>
      <w:pPr>
        <w:pStyle w:val="Compact"/>
        <w:numPr>
          <w:ilvl w:val="0"/>
          <w:numId w:val="1139"/>
        </w:numPr>
      </w:pPr>
      <w:r>
        <w:t xml:space="preserve">Найдите сводную запись журнала или газеты.</w:t>
      </w:r>
    </w:p>
    <w:p>
      <w:pPr>
        <w:pStyle w:val="Compact"/>
        <w:numPr>
          <w:ilvl w:val="0"/>
          <w:numId w:val="1139"/>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39"/>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39"/>
        </w:numPr>
      </w:pPr>
      <w:r>
        <w:t xml:space="preserve">Выберите действие</w:t>
      </w:r>
      <w:r>
        <w:t xml:space="preserve"> </w:t>
      </w:r>
      <w:r>
        <w:rPr>
          <w:rStyle w:val="VerbatimChar"/>
        </w:rPr>
        <w:t xml:space="preserve">Перейти к списку номеров журнала/газеты</w:t>
      </w:r>
      <w:r>
        <w:t xml:space="preserve">.</w:t>
      </w:r>
    </w:p>
    <w:p>
      <w:pPr>
        <w:pStyle w:val="CaptionedFigure"/>
      </w:pPr>
      <w:r>
        <w:drawing>
          <wp:inline>
            <wp:extent cx="5334000" cy="3000375"/>
            <wp:effectExtent b="0" l="0" r="0" t="0"/>
            <wp:docPr descr="Переход к списку номеров журнала или газеты" title="" id="486" name="Picture"/>
            <a:graphic>
              <a:graphicData uri="http://schemas.openxmlformats.org/drawingml/2006/picture">
                <pic:pic>
                  <pic:nvPicPr>
                    <pic:cNvPr descr="modules/Cataloguer/Help/CataloguerGuide/PeriodicalLinks01.png" id="487" name="Picture"/>
                    <pic:cNvPicPr>
                      <a:picLocks noChangeArrowheads="1" noChangeAspect="1"/>
                    </pic:cNvPicPr>
                  </pic:nvPicPr>
                  <pic:blipFill>
                    <a:blip r:embed="rId485"/>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списку номеров журнала или газеты</w:t>
      </w:r>
    </w:p>
    <w:p>
      <w:pPr>
        <w:pStyle w:val="Compact"/>
        <w:numPr>
          <w:ilvl w:val="0"/>
          <w:numId w:val="1140"/>
        </w:numPr>
      </w:pPr>
      <w:r>
        <w:t xml:space="preserve">Система откроет список отдельных номеров выбранного журнала или газеты.</w:t>
      </w:r>
    </w:p>
    <w:p>
      <w:pPr>
        <w:pStyle w:val="CaptionedFigure"/>
      </w:pPr>
      <w:r>
        <w:drawing>
          <wp:inline>
            <wp:extent cx="5334000" cy="2362095"/>
            <wp:effectExtent b="0" l="0" r="0" t="0"/>
            <wp:docPr descr="Список номеров журнала или газеты" title="" id="489" name="Picture"/>
            <a:graphic>
              <a:graphicData uri="http://schemas.openxmlformats.org/drawingml/2006/picture">
                <pic:pic>
                  <pic:nvPicPr>
                    <pic:cNvPr descr="modules/Cataloguer/Help/CataloguerGuide/PeriodicalLinks02.png" id="490" name="Picture"/>
                    <pic:cNvPicPr>
                      <a:picLocks noChangeArrowheads="1" noChangeAspect="1"/>
                    </pic:cNvPicPr>
                  </pic:nvPicPr>
                  <pic:blipFill>
                    <a:blip r:embed="rId488"/>
                    <a:stretch>
                      <a:fillRect/>
                    </a:stretch>
                  </pic:blipFill>
                  <pic:spPr bwMode="auto">
                    <a:xfrm>
                      <a:off x="0" y="0"/>
                      <a:ext cx="5334000" cy="2362095"/>
                    </a:xfrm>
                    <a:prstGeom prst="rect">
                      <a:avLst/>
                    </a:prstGeom>
                    <a:noFill/>
                    <a:ln w="9525">
                      <a:noFill/>
                      <a:headEnd/>
                      <a:tailEnd/>
                    </a:ln>
                  </pic:spPr>
                </pic:pic>
              </a:graphicData>
            </a:graphic>
          </wp:inline>
        </w:drawing>
      </w:r>
    </w:p>
    <w:p>
      <w:pPr>
        <w:pStyle w:val="ImageCaption"/>
      </w:pPr>
      <w:r>
        <w:t xml:space="preserve">Список номеров журнала или газеты</w:t>
      </w:r>
    </w:p>
    <w:bookmarkEnd w:id="491"/>
    <w:bookmarkStart w:id="498" w:name="от-отдельного-номера-к-сводному-описанию"/>
    <w:p>
      <w:pPr>
        <w:pStyle w:val="Heading3"/>
      </w:pPr>
      <w:r>
        <w:t xml:space="preserve">3. От отдельного номера к сводному описанию</w:t>
      </w:r>
    </w:p>
    <w:p>
      <w:pPr>
        <w:pStyle w:val="Compact"/>
        <w:numPr>
          <w:ilvl w:val="0"/>
          <w:numId w:val="1141"/>
        </w:numPr>
      </w:pPr>
      <w:r>
        <w:t xml:space="preserve">Найдите запись отдельного номера периодического издания.</w:t>
      </w:r>
    </w:p>
    <w:p>
      <w:pPr>
        <w:pStyle w:val="Compact"/>
        <w:numPr>
          <w:ilvl w:val="0"/>
          <w:numId w:val="1141"/>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1"/>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41"/>
        </w:numPr>
      </w:pPr>
      <w:r>
        <w:t xml:space="preserve">Выберите действие</w:t>
      </w:r>
      <w:r>
        <w:t xml:space="preserve"> </w:t>
      </w:r>
      <w:r>
        <w:rPr>
          <w:rStyle w:val="VerbatimChar"/>
        </w:rPr>
        <w:t xml:space="preserve">Перейти к сводному описанию журнала/газеты</w:t>
      </w:r>
      <w:r>
        <w:t xml:space="preserve">.</w:t>
      </w:r>
    </w:p>
    <w:p>
      <w:pPr>
        <w:pStyle w:val="CaptionedFigure"/>
      </w:pPr>
      <w:r>
        <w:drawing>
          <wp:inline>
            <wp:extent cx="5334000" cy="3000375"/>
            <wp:effectExtent b="0" l="0" r="0" t="0"/>
            <wp:docPr descr="Переход к сводному описанию журнала или газеты" title="" id="493" name="Picture"/>
            <a:graphic>
              <a:graphicData uri="http://schemas.openxmlformats.org/drawingml/2006/picture">
                <pic:pic>
                  <pic:nvPicPr>
                    <pic:cNvPr descr="modules/Cataloguer/Help/CataloguerGuide/PeriodicalLinks03.png" id="494" name="Picture"/>
                    <pic:cNvPicPr>
                      <a:picLocks noChangeArrowheads="1" noChangeAspect="1"/>
                    </pic:cNvPicPr>
                  </pic:nvPicPr>
                  <pic:blipFill>
                    <a:blip r:embed="rId492"/>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сводному описанию журнала или газеты</w:t>
      </w:r>
    </w:p>
    <w:p>
      <w:pPr>
        <w:pStyle w:val="Compact"/>
        <w:numPr>
          <w:ilvl w:val="0"/>
          <w:numId w:val="1142"/>
        </w:numPr>
      </w:pPr>
      <w:r>
        <w:t xml:space="preserve">Система откроет сводное описание журнала или газеты.</w:t>
      </w:r>
    </w:p>
    <w:p>
      <w:pPr>
        <w:pStyle w:val="CaptionedFigure"/>
      </w:pPr>
      <w:r>
        <w:drawing>
          <wp:inline>
            <wp:extent cx="5334000" cy="2374776"/>
            <wp:effectExtent b="0" l="0" r="0" t="0"/>
            <wp:docPr descr="Сводное описание журнала или газеты" title="" id="496" name="Picture"/>
            <a:graphic>
              <a:graphicData uri="http://schemas.openxmlformats.org/drawingml/2006/picture">
                <pic:pic>
                  <pic:nvPicPr>
                    <pic:cNvPr descr="modules/Cataloguer/Help/CataloguerGuide/PeriodicalLinks04.png" id="497" name="Picture"/>
                    <pic:cNvPicPr>
                      <a:picLocks noChangeArrowheads="1" noChangeAspect="1"/>
                    </pic:cNvPicPr>
                  </pic:nvPicPr>
                  <pic:blipFill>
                    <a:blip r:embed="rId495"/>
                    <a:stretch>
                      <a:fillRect/>
                    </a:stretch>
                  </pic:blipFill>
                  <pic:spPr bwMode="auto">
                    <a:xfrm>
                      <a:off x="0" y="0"/>
                      <a:ext cx="5334000" cy="2374776"/>
                    </a:xfrm>
                    <a:prstGeom prst="rect">
                      <a:avLst/>
                    </a:prstGeom>
                    <a:noFill/>
                    <a:ln w="9525">
                      <a:noFill/>
                      <a:headEnd/>
                      <a:tailEnd/>
                    </a:ln>
                  </pic:spPr>
                </pic:pic>
              </a:graphicData>
            </a:graphic>
          </wp:inline>
        </w:drawing>
      </w:r>
    </w:p>
    <w:p>
      <w:pPr>
        <w:pStyle w:val="ImageCaption"/>
      </w:pPr>
      <w:r>
        <w:t xml:space="preserve">Сводное описание журнала или газеты</w:t>
      </w:r>
    </w:p>
    <w:bookmarkEnd w:id="498"/>
    <w:bookmarkStart w:id="505" w:name="от-отдельного-номера-к-списку-статей"/>
    <w:p>
      <w:pPr>
        <w:pStyle w:val="Heading3"/>
      </w:pPr>
      <w:r>
        <w:t xml:space="preserve">4. От отдельного номера к списку статей</w:t>
      </w:r>
    </w:p>
    <w:p>
      <w:pPr>
        <w:pStyle w:val="Compact"/>
        <w:numPr>
          <w:ilvl w:val="0"/>
          <w:numId w:val="1143"/>
        </w:numPr>
      </w:pPr>
      <w:r>
        <w:t xml:space="preserve">Найдите запись отдельного номера периодического издания.</w:t>
      </w:r>
    </w:p>
    <w:p>
      <w:pPr>
        <w:pStyle w:val="Compact"/>
        <w:numPr>
          <w:ilvl w:val="0"/>
          <w:numId w:val="1143"/>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3"/>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43"/>
        </w:numPr>
      </w:pPr>
      <w:r>
        <w:t xml:space="preserve">Выберите действие</w:t>
      </w:r>
      <w:r>
        <w:t xml:space="preserve"> </w:t>
      </w:r>
      <w:r>
        <w:rPr>
          <w:rStyle w:val="VerbatimChar"/>
        </w:rPr>
        <w:t xml:space="preserve">Перейти к списку статей</w:t>
      </w:r>
      <w:r>
        <w:t xml:space="preserve">.</w:t>
      </w:r>
    </w:p>
    <w:p>
      <w:pPr>
        <w:pStyle w:val="CaptionedFigure"/>
      </w:pPr>
      <w:r>
        <w:drawing>
          <wp:inline>
            <wp:extent cx="5334000" cy="3001273"/>
            <wp:effectExtent b="0" l="0" r="0" t="0"/>
            <wp:docPr descr="Переход к списку статей номера" title="" id="500" name="Picture"/>
            <a:graphic>
              <a:graphicData uri="http://schemas.openxmlformats.org/drawingml/2006/picture">
                <pic:pic>
                  <pic:nvPicPr>
                    <pic:cNvPr descr="modules/Cataloguer/Help/CataloguerGuide/PeriodicalLinks05.png" id="501" name="Picture"/>
                    <pic:cNvPicPr>
                      <a:picLocks noChangeArrowheads="1" noChangeAspect="1"/>
                    </pic:cNvPicPr>
                  </pic:nvPicPr>
                  <pic:blipFill>
                    <a:blip r:embed="rId499"/>
                    <a:stretch>
                      <a:fillRect/>
                    </a:stretch>
                  </pic:blipFill>
                  <pic:spPr bwMode="auto">
                    <a:xfrm>
                      <a:off x="0" y="0"/>
                      <a:ext cx="5334000" cy="3001273"/>
                    </a:xfrm>
                    <a:prstGeom prst="rect">
                      <a:avLst/>
                    </a:prstGeom>
                    <a:noFill/>
                    <a:ln w="9525">
                      <a:noFill/>
                      <a:headEnd/>
                      <a:tailEnd/>
                    </a:ln>
                  </pic:spPr>
                </pic:pic>
              </a:graphicData>
            </a:graphic>
          </wp:inline>
        </w:drawing>
      </w:r>
    </w:p>
    <w:p>
      <w:pPr>
        <w:pStyle w:val="ImageCaption"/>
      </w:pPr>
      <w:r>
        <w:t xml:space="preserve">Переход к списку статей номера</w:t>
      </w:r>
    </w:p>
    <w:p>
      <w:pPr>
        <w:pStyle w:val="Compact"/>
        <w:numPr>
          <w:ilvl w:val="0"/>
          <w:numId w:val="1144"/>
        </w:numPr>
      </w:pPr>
      <w:r>
        <w:t xml:space="preserve">Система откроет список статей выбранного номера.</w:t>
      </w:r>
    </w:p>
    <w:p>
      <w:pPr>
        <w:pStyle w:val="CaptionedFigure"/>
      </w:pPr>
      <w:r>
        <w:drawing>
          <wp:inline>
            <wp:extent cx="5334000" cy="2705893"/>
            <wp:effectExtent b="0" l="0" r="0" t="0"/>
            <wp:docPr descr="Список статей номера журнала" title="" id="503" name="Picture"/>
            <a:graphic>
              <a:graphicData uri="http://schemas.openxmlformats.org/drawingml/2006/picture">
                <pic:pic>
                  <pic:nvPicPr>
                    <pic:cNvPr descr="modules/Cataloguer/Help/CataloguerGuide/PeriodicalLinks06.png" id="504" name="Picture"/>
                    <pic:cNvPicPr>
                      <a:picLocks noChangeArrowheads="1" noChangeAspect="1"/>
                    </pic:cNvPicPr>
                  </pic:nvPicPr>
                  <pic:blipFill>
                    <a:blip r:embed="rId502"/>
                    <a:stretch>
                      <a:fillRect/>
                    </a:stretch>
                  </pic:blipFill>
                  <pic:spPr bwMode="auto">
                    <a:xfrm>
                      <a:off x="0" y="0"/>
                      <a:ext cx="5334000" cy="2705893"/>
                    </a:xfrm>
                    <a:prstGeom prst="rect">
                      <a:avLst/>
                    </a:prstGeom>
                    <a:noFill/>
                    <a:ln w="9525">
                      <a:noFill/>
                      <a:headEnd/>
                      <a:tailEnd/>
                    </a:ln>
                  </pic:spPr>
                </pic:pic>
              </a:graphicData>
            </a:graphic>
          </wp:inline>
        </w:drawing>
      </w:r>
    </w:p>
    <w:p>
      <w:pPr>
        <w:pStyle w:val="ImageCaption"/>
      </w:pPr>
      <w:r>
        <w:t xml:space="preserve">Список статей номера журнала</w:t>
      </w:r>
    </w:p>
    <w:bookmarkEnd w:id="505"/>
    <w:bookmarkEnd w:id="506"/>
    <w:bookmarkStart w:id="541" w:name="работа-с-бд-сводного-каталога"/>
    <w:p>
      <w:pPr>
        <w:pStyle w:val="Heading2"/>
      </w:pPr>
      <w:r>
        <w:t xml:space="preserve">Работа с БД сводного каталога</w:t>
      </w:r>
    </w:p>
    <w:p>
      <w:pPr>
        <w:pStyle w:val="FirstParagraph"/>
      </w:pPr>
      <w:r>
        <w:t xml:space="preserve">Раздел подготовлен по материалам старого документа «АРМ Каталогизатор 128».</w:t>
      </w:r>
    </w:p>
    <w:bookmarkStart w:id="507" w:name="назначение-13"/>
    <w:p>
      <w:pPr>
        <w:pStyle w:val="Heading3"/>
      </w:pPr>
      <w:r>
        <w:t xml:space="preserve">1. Назначение</w:t>
      </w:r>
    </w:p>
    <w:p>
      <w:pPr>
        <w:pStyle w:val="FirstParagraph"/>
      </w:pPr>
      <w:r>
        <w:t xml:space="preserve">В АРМ Каталогизатор пользователь может выполнять поиск и отдельные действия с записями БД сводного каталога. Административная настройка и сборка сводного каталога описываются в разделе модуля</w:t>
      </w:r>
      <w:r>
        <w:t xml:space="preserve"> </w:t>
      </w:r>
      <w:r>
        <w:rPr>
          <w:rStyle w:val="VerbatimChar"/>
        </w:rPr>
        <w:t xml:space="preserve">CSpider</w:t>
      </w:r>
      <w:r>
        <w:t xml:space="preserve">; этот раздел описывает только пользовательские действия в интерфейсе Каталогизатора.</w:t>
      </w:r>
    </w:p>
    <w:bookmarkEnd w:id="507"/>
    <w:bookmarkStart w:id="514" w:name="поиск-записей"/>
    <w:p>
      <w:pPr>
        <w:pStyle w:val="Heading3"/>
      </w:pPr>
      <w:r>
        <w:t xml:space="preserve">2. Поиск записей</w:t>
      </w:r>
    </w:p>
    <w:p>
      <w:pPr>
        <w:pStyle w:val="Compact"/>
        <w:numPr>
          <w:ilvl w:val="0"/>
          <w:numId w:val="1145"/>
        </w:numPr>
      </w:pPr>
      <w:r>
        <w:t xml:space="preserve">Откройте форму поиска по БД сводного каталога.</w:t>
      </w:r>
    </w:p>
    <w:p>
      <w:pPr>
        <w:pStyle w:val="Compact"/>
        <w:numPr>
          <w:ilvl w:val="0"/>
          <w:numId w:val="1145"/>
        </w:numPr>
      </w:pPr>
      <w:r>
        <w:t xml:space="preserve">Выберите вид поиска.</w:t>
      </w:r>
    </w:p>
    <w:p>
      <w:pPr>
        <w:pStyle w:val="Compact"/>
        <w:numPr>
          <w:ilvl w:val="0"/>
          <w:numId w:val="1145"/>
        </w:numPr>
      </w:pPr>
      <w:r>
        <w:t xml:space="preserve">Заполните поисковое поле.</w:t>
      </w:r>
    </w:p>
    <w:p>
      <w:pPr>
        <w:pStyle w:val="Compact"/>
        <w:numPr>
          <w:ilvl w:val="0"/>
          <w:numId w:val="1145"/>
        </w:numPr>
      </w:pPr>
      <w:r>
        <w:t xml:space="preserve">Нажмите кнопку</w:t>
      </w:r>
      <w:r>
        <w:t xml:space="preserve"> </w:t>
      </w:r>
      <w:r>
        <w:rPr>
          <w:rStyle w:val="VerbatimChar"/>
        </w:rPr>
        <w:t xml:space="preserve">Поиск</w:t>
      </w:r>
      <w:r>
        <w:t xml:space="preserve">.</w:t>
      </w:r>
    </w:p>
    <w:p>
      <w:pPr>
        <w:pStyle w:val="CaptionedFigure"/>
      </w:pPr>
      <w:r>
        <w:drawing>
          <wp:inline>
            <wp:extent cx="5334000" cy="3032477"/>
            <wp:effectExtent b="0" l="0" r="0" t="0"/>
            <wp:docPr descr="Форма поиска по сводному каталогу" title="" id="509" name="Picture"/>
            <a:graphic>
              <a:graphicData uri="http://schemas.openxmlformats.org/drawingml/2006/picture">
                <pic:pic>
                  <pic:nvPicPr>
                    <pic:cNvPr descr="modules/Cataloguer/Help/CataloguerGuide/UnionCatalogActions01.png" id="510" name="Picture"/>
                    <pic:cNvPicPr>
                      <a:picLocks noChangeArrowheads="1" noChangeAspect="1"/>
                    </pic:cNvPicPr>
                  </pic:nvPicPr>
                  <pic:blipFill>
                    <a:blip r:embed="rId508"/>
                    <a:stretch>
                      <a:fillRect/>
                    </a:stretch>
                  </pic:blipFill>
                  <pic:spPr bwMode="auto">
                    <a:xfrm>
                      <a:off x="0" y="0"/>
                      <a:ext cx="5334000" cy="3032477"/>
                    </a:xfrm>
                    <a:prstGeom prst="rect">
                      <a:avLst/>
                    </a:prstGeom>
                    <a:noFill/>
                    <a:ln w="9525">
                      <a:noFill/>
                      <a:headEnd/>
                      <a:tailEnd/>
                    </a:ln>
                  </pic:spPr>
                </pic:pic>
              </a:graphicData>
            </a:graphic>
          </wp:inline>
        </w:drawing>
      </w:r>
    </w:p>
    <w:p>
      <w:pPr>
        <w:pStyle w:val="ImageCaption"/>
      </w:pPr>
      <w:r>
        <w:t xml:space="preserve">Форма поиска по сводному каталогу</w:t>
      </w:r>
    </w:p>
    <w:p>
      <w:pPr>
        <w:pStyle w:val="BodyText"/>
      </w:pPr>
      <w:r>
        <w:t xml:space="preserve">После выполнения поиска записи выводятся в область</w:t>
      </w:r>
      <w:r>
        <w:t xml:space="preserve"> </w:t>
      </w:r>
      <w:r>
        <w:rPr>
          <w:rStyle w:val="VerbatimChar"/>
        </w:rPr>
        <w:t xml:space="preserve">Результаты поиска</w:t>
      </w:r>
      <w:r>
        <w:t xml:space="preserve">.</w:t>
      </w:r>
    </w:p>
    <w:p>
      <w:pPr>
        <w:pStyle w:val="CaptionedFigure"/>
      </w:pPr>
      <w:r>
        <w:drawing>
          <wp:inline>
            <wp:extent cx="5334000" cy="3494522"/>
            <wp:effectExtent b="0" l="0" r="0" t="0"/>
            <wp:docPr descr="Поисковая выдача сводного каталога" title="" id="512" name="Picture"/>
            <a:graphic>
              <a:graphicData uri="http://schemas.openxmlformats.org/drawingml/2006/picture">
                <pic:pic>
                  <pic:nvPicPr>
                    <pic:cNvPr descr="modules/Cataloguer/Help/CataloguerGuide/UnionCatalogActions02.png" id="513" name="Picture"/>
                    <pic:cNvPicPr>
                      <a:picLocks noChangeArrowheads="1" noChangeAspect="1"/>
                    </pic:cNvPicPr>
                  </pic:nvPicPr>
                  <pic:blipFill>
                    <a:blip r:embed="rId511"/>
                    <a:stretch>
                      <a:fillRect/>
                    </a:stretch>
                  </pic:blipFill>
                  <pic:spPr bwMode="auto">
                    <a:xfrm>
                      <a:off x="0" y="0"/>
                      <a:ext cx="5334000" cy="3494522"/>
                    </a:xfrm>
                    <a:prstGeom prst="rect">
                      <a:avLst/>
                    </a:prstGeom>
                    <a:noFill/>
                    <a:ln w="9525">
                      <a:noFill/>
                      <a:headEnd/>
                      <a:tailEnd/>
                    </a:ln>
                  </pic:spPr>
                </pic:pic>
              </a:graphicData>
            </a:graphic>
          </wp:inline>
        </w:drawing>
      </w:r>
    </w:p>
    <w:p>
      <w:pPr>
        <w:pStyle w:val="ImageCaption"/>
      </w:pPr>
      <w:r>
        <w:t xml:space="preserve">Поисковая выдача сводного каталога</w:t>
      </w:r>
    </w:p>
    <w:bookmarkEnd w:id="514"/>
    <w:bookmarkStart w:id="515" w:name="доступные-виды-поиска"/>
    <w:p>
      <w:pPr>
        <w:pStyle w:val="Heading3"/>
      </w:pPr>
      <w:r>
        <w:t xml:space="preserve">3. Доступные виды поиска</w:t>
      </w:r>
    </w:p>
    <w:p>
      <w:pPr>
        <w:pStyle w:val="FirstParagraph"/>
      </w:pPr>
      <w:r>
        <w:t xml:space="preserve">В поставочной БД сводного каталога доступны основные библиографические и технологические виды поиска. Пользователь выбирает их в списке видов поиска; система формирует поисковое выражение с соответствующим префиксом.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Автор</w:t>
            </w:r>
          </w:p>
        </w:tc>
        <w:tc>
          <w:tcPr/>
          <w:p>
            <w:pPr>
              <w:pStyle w:val="Compact"/>
            </w:pPr>
            <w:r>
              <w:t xml:space="preserve">Фамилию индивидуального автора</w:t>
            </w:r>
          </w:p>
        </w:tc>
        <w:tc>
          <w:tcPr/>
          <w:p>
            <w:pPr>
              <w:pStyle w:val="Compact"/>
            </w:pPr>
            <w:r>
              <w:rPr>
                <w:rStyle w:val="VerbatimChar"/>
              </w:rPr>
              <w:t xml:space="preserve">A=</w:t>
            </w:r>
          </w:p>
        </w:tc>
      </w:tr>
      <w:tr>
        <w:tc>
          <w:tcPr/>
          <w:p>
            <w:pPr>
              <w:pStyle w:val="Compact"/>
            </w:pPr>
            <w:r>
              <w:t xml:space="preserve">Заглавие</w:t>
            </w:r>
          </w:p>
        </w:tc>
        <w:tc>
          <w:tcPr/>
          <w:p>
            <w:pPr>
              <w:pStyle w:val="Compact"/>
            </w:pPr>
            <w:r>
              <w:t xml:space="preserve">Заглавие, слова из заглавия и связанные заглавия</w:t>
            </w:r>
          </w:p>
        </w:tc>
        <w:tc>
          <w:tcPr/>
          <w:p>
            <w:pPr>
              <w:pStyle w:val="Compact"/>
            </w:pPr>
            <w:r>
              <w:rPr>
                <w:rStyle w:val="VerbatimChar"/>
              </w:rPr>
              <w:t xml:space="preserve">K=</w:t>
            </w:r>
          </w:p>
        </w:tc>
      </w:tr>
      <w:tr>
        <w:tc>
          <w:tcPr/>
          <w:p>
            <w:pPr>
              <w:pStyle w:val="Compact"/>
            </w:pPr>
            <w:r>
              <w:t xml:space="preserve">Год издания</w:t>
            </w:r>
          </w:p>
        </w:tc>
        <w:tc>
          <w:tcPr/>
          <w:p>
            <w:pPr>
              <w:pStyle w:val="Compact"/>
            </w:pPr>
            <w:r>
              <w:t xml:space="preserve">Год издания документа</w:t>
            </w:r>
          </w:p>
        </w:tc>
        <w:tc>
          <w:tcPr/>
          <w:p>
            <w:pPr>
              <w:pStyle w:val="Compact"/>
            </w:pPr>
            <w:r>
              <w:rPr>
                <w:rStyle w:val="VerbatimChar"/>
              </w:rPr>
              <w:t xml:space="preserve">g=</w:t>
            </w:r>
          </w:p>
        </w:tc>
      </w:tr>
      <w:tr>
        <w:tc>
          <w:tcPr/>
          <w:p>
            <w:pPr>
              <w:pStyle w:val="Compact"/>
            </w:pPr>
            <w:r>
              <w:t xml:space="preserve">УДК</w:t>
            </w:r>
          </w:p>
        </w:tc>
        <w:tc>
          <w:tcPr/>
          <w:p>
            <w:pPr>
              <w:pStyle w:val="Compact"/>
            </w:pPr>
            <w:r>
              <w:t xml:space="preserve">Индекс УДК</w:t>
            </w:r>
          </w:p>
        </w:tc>
        <w:tc>
          <w:tcPr/>
          <w:p>
            <w:pPr>
              <w:pStyle w:val="Compact"/>
            </w:pPr>
            <w:r>
              <w:rPr>
                <w:rStyle w:val="VerbatimChar"/>
              </w:rPr>
              <w:t xml:space="preserve">U=</w:t>
            </w:r>
          </w:p>
        </w:tc>
      </w:tr>
      <w:tr>
        <w:tc>
          <w:tcPr/>
          <w:p>
            <w:pPr>
              <w:pStyle w:val="Compact"/>
            </w:pPr>
            <w:r>
              <w:t xml:space="preserve">Ключевые слова</w:t>
            </w:r>
          </w:p>
        </w:tc>
        <w:tc>
          <w:tcPr/>
          <w:p>
            <w:pPr>
              <w:pStyle w:val="Compact"/>
            </w:pPr>
            <w:r>
              <w:t xml:space="preserve">Ключевые слова и расширенные текстовые признаки</w:t>
            </w:r>
          </w:p>
        </w:tc>
        <w:tc>
          <w:tcPr/>
          <w:p>
            <w:pPr>
              <w:pStyle w:val="Compact"/>
            </w:pPr>
            <w:r>
              <w:rPr>
                <w:rStyle w:val="VerbatimChar"/>
              </w:rPr>
              <w:t xml:space="preserve">K=</w:t>
            </w:r>
          </w:p>
        </w:tc>
      </w:tr>
      <w:tr>
        <w:tc>
          <w:tcPr/>
          <w:p>
            <w:pPr>
              <w:pStyle w:val="Compact"/>
            </w:pPr>
            <w:r>
              <w:t xml:space="preserve">Коллективный автор</w:t>
            </w:r>
          </w:p>
        </w:tc>
        <w:tc>
          <w:tcPr/>
          <w:p>
            <w:pPr>
              <w:pStyle w:val="Compact"/>
            </w:pPr>
            <w:r>
              <w:t xml:space="preserve">Название организации или коллектива</w:t>
            </w:r>
          </w:p>
        </w:tc>
        <w:tc>
          <w:tcPr/>
          <w:p>
            <w:pPr>
              <w:pStyle w:val="Compact"/>
            </w:pPr>
            <w:r>
              <w:rPr>
                <w:rStyle w:val="VerbatimChar"/>
              </w:rPr>
              <w:t xml:space="preserve">K=</w:t>
            </w:r>
          </w:p>
        </w:tc>
      </w:tr>
      <w:tr>
        <w:tc>
          <w:tcPr/>
          <w:p>
            <w:pPr>
              <w:pStyle w:val="Compact"/>
            </w:pPr>
            <w:r>
              <w:t xml:space="preserve">Язык</w:t>
            </w:r>
          </w:p>
        </w:tc>
        <w:tc>
          <w:tcPr/>
          <w:p>
            <w:pPr>
              <w:pStyle w:val="Compact"/>
            </w:pPr>
            <w:r>
              <w:t xml:space="preserve">Код языка документа</w:t>
            </w:r>
          </w:p>
        </w:tc>
        <w:tc>
          <w:tcPr/>
          <w:p>
            <w:pPr>
              <w:pStyle w:val="Compact"/>
            </w:pPr>
            <w:r>
              <w:rPr>
                <w:rStyle w:val="VerbatimChar"/>
              </w:rPr>
              <w:t xml:space="preserve">j=</w:t>
            </w:r>
          </w:p>
        </w:tc>
      </w:tr>
      <w:tr>
        <w:tc>
          <w:tcPr/>
          <w:p>
            <w:pPr>
              <w:pStyle w:val="Compact"/>
            </w:pPr>
            <w:r>
              <w:t xml:space="preserve">Рубрика ГАСНТИ</w:t>
            </w:r>
          </w:p>
        </w:tc>
        <w:tc>
          <w:tcPr/>
          <w:p>
            <w:pPr>
              <w:pStyle w:val="Compact"/>
            </w:pPr>
            <w:r>
              <w:t xml:space="preserve">Рубрику ГАСНТИ</w:t>
            </w:r>
          </w:p>
        </w:tc>
        <w:tc>
          <w:tcPr/>
          <w:p>
            <w:pPr>
              <w:pStyle w:val="Compact"/>
            </w:pPr>
            <w:r>
              <w:rPr>
                <w:rStyle w:val="VerbatimChar"/>
              </w:rPr>
              <w:t xml:space="preserve">R=</w:t>
            </w:r>
          </w:p>
        </w:tc>
      </w:tr>
      <w:tr>
        <w:tc>
          <w:tcPr/>
          <w:p>
            <w:pPr>
              <w:pStyle w:val="Compact"/>
            </w:pPr>
            <w:r>
              <w:t xml:space="preserve">Страна</w:t>
            </w:r>
          </w:p>
        </w:tc>
        <w:tc>
          <w:tcPr/>
          <w:p>
            <w:pPr>
              <w:pStyle w:val="Compact"/>
            </w:pPr>
            <w:r>
              <w:t xml:space="preserve">Код страны публикации</w:t>
            </w:r>
          </w:p>
        </w:tc>
        <w:tc>
          <w:tcPr/>
          <w:p>
            <w:pPr>
              <w:pStyle w:val="Compact"/>
            </w:pPr>
            <w:r>
              <w:rPr>
                <w:rStyle w:val="VerbatimChar"/>
              </w:rPr>
              <w:t xml:space="preserve">c=</w:t>
            </w:r>
          </w:p>
        </w:tc>
      </w:tr>
      <w:tr>
        <w:tc>
          <w:tcPr/>
          <w:p>
            <w:pPr>
              <w:pStyle w:val="Compact"/>
            </w:pPr>
            <w:r>
              <w:t xml:space="preserve">Шифр хранения</w:t>
            </w:r>
          </w:p>
        </w:tc>
        <w:tc>
          <w:tcPr/>
          <w:p>
            <w:pPr>
              <w:pStyle w:val="Compact"/>
            </w:pPr>
            <w:r>
              <w:t xml:space="preserve">Шифр документа в БД сводного каталога</w:t>
            </w:r>
          </w:p>
        </w:tc>
        <w:tc>
          <w:tcPr/>
          <w:p>
            <w:pPr>
              <w:pStyle w:val="Compact"/>
            </w:pPr>
            <w:r>
              <w:rPr>
                <w:rStyle w:val="VerbatimChar"/>
              </w:rPr>
              <w:t xml:space="preserve">I=</w:t>
            </w:r>
          </w:p>
        </w:tc>
      </w:tr>
      <w:tr>
        <w:tc>
          <w:tcPr/>
          <w:p>
            <w:pPr>
              <w:pStyle w:val="Compact"/>
            </w:pPr>
            <w:r>
              <w:t xml:space="preserve">Дата поступления</w:t>
            </w:r>
          </w:p>
        </w:tc>
        <w:tc>
          <w:tcPr/>
          <w:p>
            <w:pPr>
              <w:pStyle w:val="Compact"/>
            </w:pPr>
            <w:r>
              <w:t xml:space="preserve">Интервал поступления записи</w:t>
            </w:r>
          </w:p>
        </w:tc>
        <w:tc>
          <w:tcPr/>
          <w:p>
            <w:pPr>
              <w:pStyle w:val="Compact"/>
            </w:pPr>
            <w:r>
              <w:rPr>
                <w:rStyle w:val="VerbatimChar"/>
              </w:rPr>
              <w:t xml:space="preserve">@DP=</w:t>
            </w:r>
          </w:p>
        </w:tc>
      </w:tr>
      <w:tr>
        <w:tc>
          <w:tcPr/>
          <w:p>
            <w:pPr>
              <w:pStyle w:val="Compact"/>
            </w:pPr>
            <w:r>
              <w:t xml:space="preserve">Вид документа</w:t>
            </w:r>
          </w:p>
        </w:tc>
        <w:tc>
          <w:tcPr/>
          <w:p>
            <w:pPr>
              <w:pStyle w:val="Compact"/>
            </w:pPr>
            <w:r>
              <w:t xml:space="preserve">Код вида документа</w:t>
            </w:r>
          </w:p>
        </w:tc>
        <w:tc>
          <w:tcPr/>
          <w:p>
            <w:pPr>
              <w:pStyle w:val="Compact"/>
            </w:pPr>
            <w:r>
              <w:rPr>
                <w:rStyle w:val="VerbatimChar"/>
              </w:rPr>
              <w:t xml:space="preserve">V=</w:t>
            </w:r>
          </w:p>
        </w:tc>
      </w:tr>
      <w:tr>
        <w:tc>
          <w:tcPr/>
          <w:p>
            <w:pPr>
              <w:pStyle w:val="Compact"/>
            </w:pPr>
            <w:r>
              <w:t xml:space="preserve">Год/том/номер</w:t>
            </w:r>
          </w:p>
        </w:tc>
        <w:tc>
          <w:tcPr/>
          <w:p>
            <w:pPr>
              <w:pStyle w:val="Compact"/>
            </w:pPr>
            <w:r>
              <w:t xml:space="preserve">Год, том или номер периодического издания</w:t>
            </w:r>
          </w:p>
        </w:tc>
        <w:tc>
          <w:tcPr/>
          <w:p>
            <w:pPr>
              <w:pStyle w:val="Compact"/>
            </w:pPr>
            <w:r>
              <w:rPr>
                <w:rStyle w:val="VerbatimChar"/>
              </w:rPr>
              <w:t xml:space="preserve">@</w:t>
            </w:r>
          </w:p>
        </w:tc>
      </w:tr>
    </w:tbl>
    <w:p>
      <w:pPr>
        <w:pStyle w:val="BodyText"/>
      </w:pPr>
      <w:r>
        <w:t xml:space="preserve">Дополнительные виды поиска используются в технологических сценариях ИРБИС 128 и при сопровождении данных сводного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Номер акта передачи</w:t>
            </w:r>
          </w:p>
        </w:tc>
        <w:tc>
          <w:tcPr/>
          <w:p>
            <w:pPr>
              <w:pStyle w:val="Compact"/>
            </w:pPr>
            <w:r>
              <w:t xml:space="preserve">Номер акта передачи записей</w:t>
            </w:r>
          </w:p>
        </w:tc>
        <w:tc>
          <w:tcPr/>
          <w:p>
            <w:pPr>
              <w:pStyle w:val="Compact"/>
            </w:pPr>
            <w:r>
              <w:rPr>
                <w:rStyle w:val="VerbatimChar"/>
              </w:rPr>
              <w:t xml:space="preserve">NAP=</w:t>
            </w:r>
          </w:p>
        </w:tc>
      </w:tr>
      <w:tr>
        <w:tc>
          <w:tcPr/>
          <w:p>
            <w:pPr>
              <w:pStyle w:val="Compact"/>
            </w:pPr>
            <w:r>
              <w:t xml:space="preserve">Номер партии книг при выбытии</w:t>
            </w:r>
          </w:p>
        </w:tc>
        <w:tc>
          <w:tcPr/>
          <w:p>
            <w:pPr>
              <w:pStyle w:val="Compact"/>
            </w:pPr>
            <w:r>
              <w:t xml:space="preserve">Номер партии, связанной с выбытием экземпляров</w:t>
            </w:r>
          </w:p>
        </w:tc>
        <w:tc>
          <w:tcPr/>
          <w:p>
            <w:pPr>
              <w:pStyle w:val="Compact"/>
            </w:pPr>
            <w:r>
              <w:rPr>
                <w:rStyle w:val="VerbatimChar"/>
              </w:rPr>
              <w:t xml:space="preserve">NKS2=</w:t>
            </w:r>
          </w:p>
        </w:tc>
      </w:tr>
      <w:tr>
        <w:tc>
          <w:tcPr/>
          <w:p>
            <w:pPr>
              <w:pStyle w:val="Compact"/>
            </w:pPr>
            <w:r>
              <w:t xml:space="preserve">Носитель</w:t>
            </w:r>
          </w:p>
        </w:tc>
        <w:tc>
          <w:tcPr/>
          <w:p>
            <w:pPr>
              <w:pStyle w:val="Compact"/>
            </w:pPr>
            <w:r>
              <w:t xml:space="preserve">Код носителя документа</w:t>
            </w:r>
          </w:p>
        </w:tc>
        <w:tc>
          <w:tcPr/>
          <w:p>
            <w:pPr>
              <w:pStyle w:val="Compact"/>
            </w:pPr>
            <w:r>
              <w:rPr>
                <w:rStyle w:val="VerbatimChar"/>
              </w:rPr>
              <w:t xml:space="preserve">NOS=</w:t>
            </w:r>
          </w:p>
        </w:tc>
      </w:tr>
      <w:tr>
        <w:tc>
          <w:tcPr/>
          <w:p>
            <w:pPr>
              <w:pStyle w:val="Compact"/>
            </w:pPr>
            <w:r>
              <w:t xml:space="preserve">Характер</w:t>
            </w:r>
          </w:p>
        </w:tc>
        <w:tc>
          <w:tcPr/>
          <w:p>
            <w:pPr>
              <w:pStyle w:val="Compact"/>
            </w:pPr>
            <w:r>
              <w:t xml:space="preserve">Код характера документа</w:t>
            </w:r>
          </w:p>
        </w:tc>
        <w:tc>
          <w:tcPr/>
          <w:p>
            <w:pPr>
              <w:pStyle w:val="Compact"/>
            </w:pPr>
            <w:r>
              <w:rPr>
                <w:rStyle w:val="VerbatimChar"/>
              </w:rPr>
              <w:t xml:space="preserve">HD=</w:t>
            </w:r>
          </w:p>
        </w:tc>
      </w:tr>
      <w:tr>
        <w:tc>
          <w:tcPr/>
          <w:p>
            <w:pPr>
              <w:pStyle w:val="Compact"/>
            </w:pPr>
            <w:r>
              <w:t xml:space="preserve">Раздел знаний</w:t>
            </w:r>
          </w:p>
        </w:tc>
        <w:tc>
          <w:tcPr/>
          <w:p>
            <w:pPr>
              <w:pStyle w:val="Compact"/>
            </w:pPr>
            <w:r>
              <w:t xml:space="preserve">Код раздела знаний</w:t>
            </w:r>
          </w:p>
        </w:tc>
        <w:tc>
          <w:tcPr/>
          <w:p>
            <w:pPr>
              <w:pStyle w:val="Compact"/>
            </w:pPr>
            <w:r>
              <w:rPr>
                <w:rStyle w:val="VerbatimChar"/>
              </w:rPr>
              <w:t xml:space="preserve">RZD=</w:t>
            </w:r>
          </w:p>
        </w:tc>
      </w:tr>
      <w:tr>
        <w:tc>
          <w:tcPr/>
          <w:p>
            <w:pPr>
              <w:pStyle w:val="Compact"/>
            </w:pPr>
            <w:r>
              <w:t xml:space="preserve">УДК/ББК</w:t>
            </w:r>
          </w:p>
        </w:tc>
        <w:tc>
          <w:tcPr/>
          <w:p>
            <w:pPr>
              <w:pStyle w:val="Compact"/>
            </w:pPr>
            <w:r>
              <w:t xml:space="preserve">Индекс классификации УДК или ББК</w:t>
            </w:r>
          </w:p>
        </w:tc>
        <w:tc>
          <w:tcPr/>
          <w:p>
            <w:pPr>
              <w:pStyle w:val="Compact"/>
            </w:pPr>
            <w:r>
              <w:rPr>
                <w:rStyle w:val="VerbatimChar"/>
              </w:rPr>
              <w:t xml:space="preserve">U=</w:t>
            </w:r>
          </w:p>
        </w:tc>
      </w:tr>
      <w:tr>
        <w:tc>
          <w:tcPr/>
          <w:p>
            <w:pPr>
              <w:pStyle w:val="Compact"/>
            </w:pPr>
            <w:r>
              <w:t xml:space="preserve">Другая классификация</w:t>
            </w:r>
          </w:p>
        </w:tc>
        <w:tc>
          <w:tcPr/>
          <w:p>
            <w:pPr>
              <w:pStyle w:val="Compact"/>
            </w:pPr>
            <w:r>
              <w:t xml:space="preserve">Код другой классификационной схемы</w:t>
            </w:r>
          </w:p>
        </w:tc>
        <w:tc>
          <w:tcPr/>
          <w:p>
            <w:pPr>
              <w:pStyle w:val="Compact"/>
            </w:pPr>
            <w:r>
              <w:rPr>
                <w:rStyle w:val="VerbatimChar"/>
              </w:rPr>
              <w:t xml:space="preserve">RIN=</w:t>
            </w:r>
          </w:p>
        </w:tc>
      </w:tr>
    </w:tbl>
    <w:bookmarkEnd w:id="515"/>
    <w:bookmarkStart w:id="519" w:name="экспорт-записей"/>
    <w:p>
      <w:pPr>
        <w:pStyle w:val="Heading3"/>
      </w:pPr>
      <w:r>
        <w:t xml:space="preserve">4. Экспорт записей</w:t>
      </w:r>
    </w:p>
    <w:p>
      <w:pPr>
        <w:pStyle w:val="FirstParagraph"/>
      </w:pPr>
      <w:r>
        <w:t xml:space="preserve">Для экспорта найденных записей отметьте нужные записи и нажмите кнопку</w:t>
      </w:r>
      <w:r>
        <w:t xml:space="preserve"> </w:t>
      </w:r>
      <w:r>
        <w:rPr>
          <w:rStyle w:val="VerbatimChar"/>
        </w:rPr>
        <w:t xml:space="preserve">Экспортировать записи</w:t>
      </w:r>
      <w:r>
        <w:t xml:space="preserve">. Общий порядок экспорта описан в разделе</w:t>
      </w:r>
      <w:r>
        <w:t xml:space="preserve"> </w:t>
      </w:r>
      <w:hyperlink r:id="rId362">
        <w:r>
          <w:rPr>
            <w:rStyle w:val="Hyperlink"/>
          </w:rPr>
          <w:t xml:space="preserve">Экспорт записей из БД электронного каталога</w:t>
        </w:r>
      </w:hyperlink>
      <w:r>
        <w:t xml:space="preserve">.</w:t>
      </w:r>
    </w:p>
    <w:p>
      <w:pPr>
        <w:pStyle w:val="CaptionedFigure"/>
      </w:pPr>
      <w:r>
        <w:drawing>
          <wp:inline>
            <wp:extent cx="5334000" cy="3570899"/>
            <wp:effectExtent b="0" l="0" r="0" t="0"/>
            <wp:docPr descr="Выбор записей сводного каталога для экспорта" title="" id="517" name="Picture"/>
            <a:graphic>
              <a:graphicData uri="http://schemas.openxmlformats.org/drawingml/2006/picture">
                <pic:pic>
                  <pic:nvPicPr>
                    <pic:cNvPr descr="modules/Cataloguer/Help/CataloguerGuide/UnionCatalogActions03.png" id="518" name="Picture"/>
                    <pic:cNvPicPr>
                      <a:picLocks noChangeArrowheads="1" noChangeAspect="1"/>
                    </pic:cNvPicPr>
                  </pic:nvPicPr>
                  <pic:blipFill>
                    <a:blip r:embed="rId516"/>
                    <a:stretch>
                      <a:fillRect/>
                    </a:stretch>
                  </pic:blipFill>
                  <pic:spPr bwMode="auto">
                    <a:xfrm>
                      <a:off x="0" y="0"/>
                      <a:ext cx="5334000" cy="3570899"/>
                    </a:xfrm>
                    <a:prstGeom prst="rect">
                      <a:avLst/>
                    </a:prstGeom>
                    <a:noFill/>
                    <a:ln w="9525">
                      <a:noFill/>
                      <a:headEnd/>
                      <a:tailEnd/>
                    </a:ln>
                  </pic:spPr>
                </pic:pic>
              </a:graphicData>
            </a:graphic>
          </wp:inline>
        </w:drawing>
      </w:r>
    </w:p>
    <w:p>
      <w:pPr>
        <w:pStyle w:val="ImageCaption"/>
      </w:pPr>
      <w:r>
        <w:t xml:space="preserve">Выбор записей сводного каталога для экспорта</w:t>
      </w:r>
    </w:p>
    <w:p>
      <w:pPr>
        <w:pStyle w:val="BodyText"/>
      </w:pPr>
      <w:r>
        <w:t xml:space="preserve">В окне подтверждения выберите записи, формат или кодировку выгрузки и нажмите</w:t>
      </w:r>
      <w:r>
        <w:t xml:space="preserve"> </w:t>
      </w:r>
      <w:r>
        <w:rPr>
          <w:rStyle w:val="VerbatimChar"/>
        </w:rPr>
        <w:t xml:space="preserve">Ok</w:t>
      </w:r>
      <w:r>
        <w:t xml:space="preserve">.</w:t>
      </w:r>
    </w:p>
    <w:bookmarkEnd w:id="519"/>
    <w:bookmarkStart w:id="526" w:name="сохранённые-поисковые-запросы-1"/>
    <w:p>
      <w:pPr>
        <w:pStyle w:val="Heading3"/>
      </w:pPr>
      <w:r>
        <w:t xml:space="preserve">5. Сохранённые поисковые запросы</w:t>
      </w:r>
    </w:p>
    <w:p>
      <w:pPr>
        <w:pStyle w:val="FirstParagraph"/>
      </w:pPr>
      <w:r>
        <w:t xml:space="preserve">После выполнения поиска можно сохранить поисковый запрос под пользовательским именем.</w:t>
      </w:r>
    </w:p>
    <w:p>
      <w:pPr>
        <w:pStyle w:val="CaptionedFigure"/>
      </w:pPr>
      <w:r>
        <w:drawing>
          <wp:inline>
            <wp:extent cx="5334000" cy="3506176"/>
            <wp:effectExtent b="0" l="0" r="0" t="0"/>
            <wp:docPr descr="Сохранение поискового запроса по сводному каталогу" title="" id="521" name="Picture"/>
            <a:graphic>
              <a:graphicData uri="http://schemas.openxmlformats.org/drawingml/2006/picture">
                <pic:pic>
                  <pic:nvPicPr>
                    <pic:cNvPr descr="modules/Cataloguer/Help/CataloguerGuide/UnionCatalogActions04.png" id="522" name="Picture"/>
                    <pic:cNvPicPr>
                      <a:picLocks noChangeArrowheads="1" noChangeAspect="1"/>
                    </pic:cNvPicPr>
                  </pic:nvPicPr>
                  <pic:blipFill>
                    <a:blip r:embed="rId520"/>
                    <a:stretch>
                      <a:fillRect/>
                    </a:stretch>
                  </pic:blipFill>
                  <pic:spPr bwMode="auto">
                    <a:xfrm>
                      <a:off x="0" y="0"/>
                      <a:ext cx="5334000" cy="3506176"/>
                    </a:xfrm>
                    <a:prstGeom prst="rect">
                      <a:avLst/>
                    </a:prstGeom>
                    <a:noFill/>
                    <a:ln w="9525">
                      <a:noFill/>
                      <a:headEnd/>
                      <a:tailEnd/>
                    </a:ln>
                  </pic:spPr>
                </pic:pic>
              </a:graphicData>
            </a:graphic>
          </wp:inline>
        </w:drawing>
      </w:r>
    </w:p>
    <w:p>
      <w:pPr>
        <w:pStyle w:val="ImageCaption"/>
      </w:pPr>
      <w:r>
        <w:t xml:space="preserve">Сохранение поискового запроса по сводному каталогу</w:t>
      </w:r>
    </w:p>
    <w:p>
      <w:pPr>
        <w:pStyle w:val="BodyText"/>
      </w:pPr>
      <w:r>
        <w:t xml:space="preserve">Сохранённые запросы по БД сводного каталога открываются из личного кабинета пользователя.</w:t>
      </w:r>
    </w:p>
    <w:p>
      <w:pPr>
        <w:pStyle w:val="CaptionedFigure"/>
      </w:pPr>
      <w:r>
        <w:drawing>
          <wp:inline>
            <wp:extent cx="5334000" cy="2821761"/>
            <wp:effectExtent b="0" l="0" r="0" t="0"/>
            <wp:docPr descr="Переход к сохранённым запросам по сводному каталогу" title="" id="524" name="Picture"/>
            <a:graphic>
              <a:graphicData uri="http://schemas.openxmlformats.org/drawingml/2006/picture">
                <pic:pic>
                  <pic:nvPicPr>
                    <pic:cNvPr descr="modules/Cataloguer/Help/CataloguerGuide/UnionCatalogActions05.png" id="525" name="Picture"/>
                    <pic:cNvPicPr>
                      <a:picLocks noChangeArrowheads="1" noChangeAspect="1"/>
                    </pic:cNvPicPr>
                  </pic:nvPicPr>
                  <pic:blipFill>
                    <a:blip r:embed="rId523"/>
                    <a:stretch>
                      <a:fillRect/>
                    </a:stretch>
                  </pic:blipFill>
                  <pic:spPr bwMode="auto">
                    <a:xfrm>
                      <a:off x="0" y="0"/>
                      <a:ext cx="5334000" cy="2821761"/>
                    </a:xfrm>
                    <a:prstGeom prst="rect">
                      <a:avLst/>
                    </a:prstGeom>
                    <a:noFill/>
                    <a:ln w="9525">
                      <a:noFill/>
                      <a:headEnd/>
                      <a:tailEnd/>
                    </a:ln>
                  </pic:spPr>
                </pic:pic>
              </a:graphicData>
            </a:graphic>
          </wp:inline>
        </w:drawing>
      </w:r>
    </w:p>
    <w:p>
      <w:pPr>
        <w:pStyle w:val="ImageCaption"/>
      </w:pPr>
      <w:r>
        <w:t xml:space="preserve">Переход к сохранённым запросам по сводному каталогу</w:t>
      </w:r>
    </w:p>
    <w:bookmarkEnd w:id="526"/>
    <w:bookmarkStart w:id="534" w:name="просмотр-сведений-о-записи"/>
    <w:p>
      <w:pPr>
        <w:pStyle w:val="Heading3"/>
      </w:pPr>
      <w:r>
        <w:t xml:space="preserve">6. Просмотр сведений о записи</w:t>
      </w:r>
    </w:p>
    <w:p>
      <w:pPr>
        <w:pStyle w:val="FirstParagraph"/>
      </w:pPr>
      <w:r>
        <w:t xml:space="preserve">Для найденных записей сводного каталога доступны те же пользовательские действия, что и для записей электронного каталога: просмотр полного описания, аннотаций, ключевых слов и систематических шифров.</w:t>
      </w:r>
    </w:p>
    <w:p>
      <w:pPr>
        <w:pStyle w:val="CaptionedFigure"/>
      </w:pPr>
      <w:r>
        <w:drawing>
          <wp:inline>
            <wp:extent cx="5334000" cy="2647658"/>
            <wp:effectExtent b="0" l="0" r="0" t="0"/>
            <wp:docPr descr="Вызов просмотра полного описания записи сводного каталога" title="" id="528" name="Picture"/>
            <a:graphic>
              <a:graphicData uri="http://schemas.openxmlformats.org/drawingml/2006/picture">
                <pic:pic>
                  <pic:nvPicPr>
                    <pic:cNvPr descr="modules/Cataloguer/Help/CataloguerGuide/UnionCatalogActions06.png" id="529" name="Picture"/>
                    <pic:cNvPicPr>
                      <a:picLocks noChangeArrowheads="1" noChangeAspect="1"/>
                    </pic:cNvPicPr>
                  </pic:nvPicPr>
                  <pic:blipFill>
                    <a:blip r:embed="rId527"/>
                    <a:stretch>
                      <a:fillRect/>
                    </a:stretch>
                  </pic:blipFill>
                  <pic:spPr bwMode="auto">
                    <a:xfrm>
                      <a:off x="0" y="0"/>
                      <a:ext cx="5334000" cy="2647658"/>
                    </a:xfrm>
                    <a:prstGeom prst="rect">
                      <a:avLst/>
                    </a:prstGeom>
                    <a:noFill/>
                    <a:ln w="9525">
                      <a:noFill/>
                      <a:headEnd/>
                      <a:tailEnd/>
                    </a:ln>
                  </pic:spPr>
                </pic:pic>
              </a:graphicData>
            </a:graphic>
          </wp:inline>
        </w:drawing>
      </w:r>
    </w:p>
    <w:p>
      <w:pPr>
        <w:pStyle w:val="ImageCaption"/>
      </w:pPr>
      <w:r>
        <w:t xml:space="preserve">Вызов просмотра полного описания записи сводного каталога</w:t>
      </w:r>
    </w:p>
    <w:p>
      <w:pPr>
        <w:pStyle w:val="BodyText"/>
      </w:pPr>
      <w:r>
        <w:t xml:space="preserve">Полное описание открывается в новой вкладке.</w:t>
      </w:r>
    </w:p>
    <w:p>
      <w:pPr>
        <w:pStyle w:val="CaptionedFigure"/>
      </w:pPr>
      <w:r>
        <w:drawing>
          <wp:inline>
            <wp:extent cx="5334000" cy="1625641"/>
            <wp:effectExtent b="0" l="0" r="0" t="0"/>
            <wp:docPr descr="Просмотр полного описания записи сводного каталога" title="" id="531" name="Picture"/>
            <a:graphic>
              <a:graphicData uri="http://schemas.openxmlformats.org/drawingml/2006/picture">
                <pic:pic>
                  <pic:nvPicPr>
                    <pic:cNvPr descr="modules/Cataloguer/Help/CataloguerGuide/UnionCatalogActions07.png" id="532" name="Picture"/>
                    <pic:cNvPicPr>
                      <a:picLocks noChangeArrowheads="1" noChangeAspect="1"/>
                    </pic:cNvPicPr>
                  </pic:nvPicPr>
                  <pic:blipFill>
                    <a:blip r:embed="rId530"/>
                    <a:stretch>
                      <a:fillRect/>
                    </a:stretch>
                  </pic:blipFill>
                  <pic:spPr bwMode="auto">
                    <a:xfrm>
                      <a:off x="0" y="0"/>
                      <a:ext cx="5334000" cy="1625641"/>
                    </a:xfrm>
                    <a:prstGeom prst="rect">
                      <a:avLst/>
                    </a:prstGeom>
                    <a:noFill/>
                    <a:ln w="9525">
                      <a:noFill/>
                      <a:headEnd/>
                      <a:tailEnd/>
                    </a:ln>
                  </pic:spPr>
                </pic:pic>
              </a:graphicData>
            </a:graphic>
          </wp:inline>
        </w:drawing>
      </w:r>
    </w:p>
    <w:p>
      <w:pPr>
        <w:pStyle w:val="ImageCaption"/>
      </w:pPr>
      <w:r>
        <w:t xml:space="preserve">Просмотр полного описания записи сводного каталога</w:t>
      </w:r>
    </w:p>
    <w:p>
      <w:pPr>
        <w:pStyle w:val="BodyText"/>
      </w:pPr>
      <w:r>
        <w:t xml:space="preserve">Общий порядок просмотра сведений описан в разделе</w:t>
      </w:r>
      <w:r>
        <w:t xml:space="preserve"> </w:t>
      </w:r>
      <w:hyperlink r:id="rId533">
        <w:r>
          <w:rPr>
            <w:rStyle w:val="Hyperlink"/>
          </w:rPr>
          <w:t xml:space="preserve">Просмотр сведений о найденных записях</w:t>
        </w:r>
      </w:hyperlink>
      <w:r>
        <w:t xml:space="preserve">.</w:t>
      </w:r>
    </w:p>
    <w:bookmarkEnd w:id="534"/>
    <w:bookmarkStart w:id="539" w:name="корзина"/>
    <w:p>
      <w:pPr>
        <w:pStyle w:val="Heading3"/>
      </w:pPr>
      <w:r>
        <w:t xml:space="preserve">7. Корзина</w:t>
      </w:r>
    </w:p>
    <w:p>
      <w:pPr>
        <w:pStyle w:val="FirstParagraph"/>
      </w:pPr>
      <w:r>
        <w:t xml:space="preserve">Записи сводного каталога можно добавить в корзину, удалить из корзины и просмотреть на вкладке</w:t>
      </w:r>
      <w:r>
        <w:t xml:space="preserve"> </w:t>
      </w:r>
      <w:r>
        <w:rPr>
          <w:rStyle w:val="VerbatimChar"/>
        </w:rPr>
        <w:t xml:space="preserve">Содержимое корзины</w:t>
      </w:r>
      <w:r>
        <w:t xml:space="preserve">.</w:t>
      </w:r>
    </w:p>
    <w:p>
      <w:pPr>
        <w:pStyle w:val="CaptionedFigure"/>
      </w:pPr>
      <w:r>
        <w:drawing>
          <wp:inline>
            <wp:extent cx="5334000" cy="2710083"/>
            <wp:effectExtent b="0" l="0" r="0" t="0"/>
            <wp:docPr descr="Добавление записи сводного каталога в корзину" title="" id="536" name="Picture"/>
            <a:graphic>
              <a:graphicData uri="http://schemas.openxmlformats.org/drawingml/2006/picture">
                <pic:pic>
                  <pic:nvPicPr>
                    <pic:cNvPr descr="modules/Cataloguer/Help/CataloguerGuide/UnionCatalogActions08.png" id="537" name="Picture"/>
                    <pic:cNvPicPr>
                      <a:picLocks noChangeArrowheads="1" noChangeAspect="1"/>
                    </pic:cNvPicPr>
                  </pic:nvPicPr>
                  <pic:blipFill>
                    <a:blip r:embed="rId535"/>
                    <a:stretch>
                      <a:fillRect/>
                    </a:stretch>
                  </pic:blipFill>
                  <pic:spPr bwMode="auto">
                    <a:xfrm>
                      <a:off x="0" y="0"/>
                      <a:ext cx="5334000" cy="2710083"/>
                    </a:xfrm>
                    <a:prstGeom prst="rect">
                      <a:avLst/>
                    </a:prstGeom>
                    <a:noFill/>
                    <a:ln w="9525">
                      <a:noFill/>
                      <a:headEnd/>
                      <a:tailEnd/>
                    </a:ln>
                  </pic:spPr>
                </pic:pic>
              </a:graphicData>
            </a:graphic>
          </wp:inline>
        </w:drawing>
      </w:r>
    </w:p>
    <w:p>
      <w:pPr>
        <w:pStyle w:val="ImageCaption"/>
      </w:pPr>
      <w:r>
        <w:t xml:space="preserve">Добавление записи сводного каталога в корзину</w:t>
      </w:r>
    </w:p>
    <w:p>
      <w:pPr>
        <w:pStyle w:val="BodyText"/>
      </w:pPr>
      <w:r>
        <w:t xml:space="preserve">Общий порядок работы с корзиной описан в разделе</w:t>
      </w:r>
      <w:r>
        <w:t xml:space="preserve"> </w:t>
      </w:r>
      <w:hyperlink r:id="rId538">
        <w:r>
          <w:rPr>
            <w:rStyle w:val="Hyperlink"/>
          </w:rPr>
          <w:t xml:space="preserve">Работа с корзиной записей</w:t>
        </w:r>
      </w:hyperlink>
      <w:r>
        <w:t xml:space="preserve">.</w:t>
      </w:r>
    </w:p>
    <w:bookmarkEnd w:id="539"/>
    <w:bookmarkStart w:id="540" w:name="переходы-по-периодике"/>
    <w:p>
      <w:pPr>
        <w:pStyle w:val="Heading3"/>
      </w:pPr>
      <w:r>
        <w:t xml:space="preserve">8. Переходы по периодике</w:t>
      </w:r>
    </w:p>
    <w:p>
      <w:pPr>
        <w:pStyle w:val="FirstParagraph"/>
      </w:pPr>
      <w:r>
        <w:t xml:space="preserve">Для записей периодических изданий в БД сводного каталога доступны переходы между сводным описанием, отдельными номерами и статьями номера. Общий порядок описан в разделе</w:t>
      </w:r>
      <w:r>
        <w:t xml:space="preserve"> </w:t>
      </w:r>
      <w:hyperlink r:id="rId164">
        <w:r>
          <w:rPr>
            <w:rStyle w:val="Hyperlink"/>
          </w:rPr>
          <w:t xml:space="preserve">Переходы по связанным записям периодики</w:t>
        </w:r>
      </w:hyperlink>
      <w:r>
        <w:t xml:space="preserve">.</w:t>
      </w:r>
    </w:p>
    <w:bookmarkEnd w:id="540"/>
    <w:bookmarkEnd w:id="541"/>
    <w:bookmarkStart w:id="562" w:name="каталогизация-экземплярами"/>
    <w:p>
      <w:pPr>
        <w:pStyle w:val="Heading2"/>
      </w:pPr>
      <w:r>
        <w:t xml:space="preserve">Каталогизация экземплярами</w:t>
      </w:r>
    </w:p>
    <w:p>
      <w:pPr>
        <w:pStyle w:val="FirstParagraph"/>
      </w:pPr>
      <w:r>
        <w:t xml:space="preserve">Раздел подготовлен по материалам старого документа «АРМ Каталогизатор 128».</w:t>
      </w:r>
    </w:p>
    <w:bookmarkStart w:id="542" w:name="назначение-14"/>
    <w:p>
      <w:pPr>
        <w:pStyle w:val="Heading3"/>
      </w:pPr>
      <w:r>
        <w:t xml:space="preserve">1. Назначение</w:t>
      </w:r>
    </w:p>
    <w:p>
      <w:pPr>
        <w:pStyle w:val="FirstParagraph"/>
      </w:pPr>
      <w:r>
        <w:t xml:space="preserve">Каталогизация экземплярами используется, когда пользователь находит запись в БД-источнике и создаёт на её основе запись экземпляра в локальной базе данных организации.</w:t>
      </w:r>
    </w:p>
    <w:bookmarkEnd w:id="542"/>
    <w:bookmarkStart w:id="550" w:name="предварительная-настройка"/>
    <w:p>
      <w:pPr>
        <w:pStyle w:val="Heading3"/>
      </w:pPr>
      <w:r>
        <w:t xml:space="preserve">2. Предварительная настройка</w:t>
      </w:r>
    </w:p>
    <w:p>
      <w:pPr>
        <w:pStyle w:val="FirstParagraph"/>
      </w:pPr>
      <w:r>
        <w:t xml:space="preserve">Перед началом работы администратор должен настроить организацию в модуле</w:t>
      </w:r>
      <w:r>
        <w:t xml:space="preserve"> </w:t>
      </w:r>
      <w:hyperlink r:id="rId543">
        <w:r>
          <w:rPr>
            <w:rStyle w:val="Hyperlink"/>
          </w:rPr>
          <w:t xml:space="preserve">Организации</w:t>
        </w:r>
      </w:hyperlink>
      <w:r>
        <w:t xml:space="preserve">.</w:t>
      </w:r>
    </w:p>
    <w:p>
      <w:pPr>
        <w:pStyle w:val="BodyText"/>
      </w:pPr>
      <w:r>
        <w:t xml:space="preserve">В карточке организации должны быть проверены:</w:t>
      </w:r>
    </w:p>
    <w:p>
      <w:pPr>
        <w:pStyle w:val="Compact"/>
        <w:numPr>
          <w:ilvl w:val="0"/>
          <w:numId w:val="1146"/>
        </w:numPr>
      </w:pPr>
      <w:r>
        <w:t xml:space="preserve">пользователи организации, которым разрешена каталогизация экземплярами;</w:t>
      </w:r>
    </w:p>
    <w:p>
      <w:pPr>
        <w:pStyle w:val="Compact"/>
        <w:numPr>
          <w:ilvl w:val="0"/>
          <w:numId w:val="1146"/>
        </w:numPr>
      </w:pPr>
      <w:r>
        <w:t xml:space="preserve">БД-источник записей;</w:t>
      </w:r>
    </w:p>
    <w:p>
      <w:pPr>
        <w:pStyle w:val="Compact"/>
        <w:numPr>
          <w:ilvl w:val="0"/>
          <w:numId w:val="1146"/>
        </w:numPr>
      </w:pPr>
      <w:r>
        <w:t xml:space="preserve">БД для импорта;</w:t>
      </w:r>
    </w:p>
    <w:p>
      <w:pPr>
        <w:pStyle w:val="Compact"/>
        <w:numPr>
          <w:ilvl w:val="0"/>
          <w:numId w:val="1146"/>
        </w:numPr>
      </w:pPr>
      <w:r>
        <w:t xml:space="preserve">поле и подполе идентификатора записи в БД-источнике;</w:t>
      </w:r>
    </w:p>
    <w:p>
      <w:pPr>
        <w:pStyle w:val="Compact"/>
        <w:numPr>
          <w:ilvl w:val="0"/>
          <w:numId w:val="1146"/>
        </w:numPr>
      </w:pPr>
      <w:r>
        <w:t xml:space="preserve">префикс поиска идентификатора записи-источника в каталоге организации.</w:t>
      </w:r>
    </w:p>
    <w:p>
      <w:pPr>
        <w:pStyle w:val="CaptionedFigure"/>
      </w:pPr>
      <w:r>
        <w:drawing>
          <wp:inline>
            <wp:extent cx="5334000" cy="2271181"/>
            <wp:effectExtent b="0" l="0" r="0" t="0"/>
            <wp:docPr descr="Фрейм управления организациями" title="" id="545" name="Picture"/>
            <a:graphic>
              <a:graphicData uri="http://schemas.openxmlformats.org/drawingml/2006/picture">
                <pic:pic>
                  <pic:nvPicPr>
                    <pic:cNvPr descr="modules/Cataloguer/Help/CataloguerGuide/InstanceCataloging01.png" id="546" name="Picture"/>
                    <pic:cNvPicPr>
                      <a:picLocks noChangeArrowheads="1" noChangeAspect="1"/>
                    </pic:cNvPicPr>
                  </pic:nvPicPr>
                  <pic:blipFill>
                    <a:blip r:embed="rId544"/>
                    <a:stretch>
                      <a:fillRect/>
                    </a:stretch>
                  </pic:blipFill>
                  <pic:spPr bwMode="auto">
                    <a:xfrm>
                      <a:off x="0" y="0"/>
                      <a:ext cx="5334000" cy="2271181"/>
                    </a:xfrm>
                    <a:prstGeom prst="rect">
                      <a:avLst/>
                    </a:prstGeom>
                    <a:noFill/>
                    <a:ln w="9525">
                      <a:noFill/>
                      <a:headEnd/>
                      <a:tailEnd/>
                    </a:ln>
                  </pic:spPr>
                </pic:pic>
              </a:graphicData>
            </a:graphic>
          </wp:inline>
        </w:drawing>
      </w:r>
    </w:p>
    <w:p>
      <w:pPr>
        <w:pStyle w:val="ImageCaption"/>
      </w:pPr>
      <w:r>
        <w:t xml:space="preserve">Фрейм управления организациями</w:t>
      </w:r>
    </w:p>
    <w:p>
      <w:pPr>
        <w:pStyle w:val="BodyText"/>
      </w:pPr>
      <w:r>
        <w:t xml:space="preserve">Параметры</w:t>
      </w:r>
      <w:r>
        <w:t xml:space="preserve"> </w:t>
      </w:r>
      <w:r>
        <w:rPr>
          <w:rStyle w:val="VerbatimChar"/>
        </w:rPr>
        <w:t xml:space="preserve">Поле идентификатора записи в БД-источнике записей</w:t>
      </w:r>
      <w:r>
        <w:t xml:space="preserve">,</w:t>
      </w:r>
      <w:r>
        <w:t xml:space="preserve"> </w:t>
      </w:r>
      <w:r>
        <w:rPr>
          <w:rStyle w:val="VerbatimChar"/>
        </w:rPr>
        <w:t xml:space="preserve">Подполе идентификатора записи в БД-источнике записей</w:t>
      </w:r>
      <w:r>
        <w:t xml:space="preserve"> </w:t>
      </w:r>
      <w:r>
        <w:t xml:space="preserve">и</w:t>
      </w:r>
      <w:r>
        <w:t xml:space="preserve"> </w:t>
      </w:r>
      <w:r>
        <w:rPr>
          <w:rStyle w:val="VerbatimChar"/>
        </w:rPr>
        <w:t xml:space="preserve">Префикс поиска идентификатора записи-источника в каталоге организации</w:t>
      </w:r>
      <w:r>
        <w:t xml:space="preserve"> </w:t>
      </w:r>
      <w:r>
        <w:t xml:space="preserve">имеют значения по умолчанию. Изменять их следует только при понимании технологии каталогизации экземплярами.</w:t>
      </w:r>
    </w:p>
    <w:p>
      <w:pPr>
        <w:pStyle w:val="CaptionedFigure"/>
      </w:pPr>
      <w:r>
        <w:drawing>
          <wp:inline>
            <wp:extent cx="4928134" cy="2002054"/>
            <wp:effectExtent b="0" l="0" r="0" t="0"/>
            <wp:docPr descr="Настройка каталогизации экземплярами" title="" id="548" name="Picture"/>
            <a:graphic>
              <a:graphicData uri="http://schemas.openxmlformats.org/drawingml/2006/picture">
                <pic:pic>
                  <pic:nvPicPr>
                    <pic:cNvPr descr="modules/Cataloguer/Help/CataloguerGuide/InstanceCataloging02.png" id="549" name="Picture"/>
                    <pic:cNvPicPr>
                      <a:picLocks noChangeArrowheads="1" noChangeAspect="1"/>
                    </pic:cNvPicPr>
                  </pic:nvPicPr>
                  <pic:blipFill>
                    <a:blip r:embed="rId547"/>
                    <a:stretch>
                      <a:fillRect/>
                    </a:stretch>
                  </pic:blipFill>
                  <pic:spPr bwMode="auto">
                    <a:xfrm>
                      <a:off x="0" y="0"/>
                      <a:ext cx="4928134" cy="2002054"/>
                    </a:xfrm>
                    <a:prstGeom prst="rect">
                      <a:avLst/>
                    </a:prstGeom>
                    <a:noFill/>
                    <a:ln w="9525">
                      <a:noFill/>
                      <a:headEnd/>
                      <a:tailEnd/>
                    </a:ln>
                  </pic:spPr>
                </pic:pic>
              </a:graphicData>
            </a:graphic>
          </wp:inline>
        </w:drawing>
      </w:r>
    </w:p>
    <w:p>
      <w:pPr>
        <w:pStyle w:val="ImageCaption"/>
      </w:pPr>
      <w:r>
        <w:t xml:space="preserve">Настройка каталогизации экземплярами</w:t>
      </w:r>
    </w:p>
    <w:bookmarkEnd w:id="550"/>
    <w:bookmarkStart w:id="560" w:name="порядок-действий-10"/>
    <w:p>
      <w:pPr>
        <w:pStyle w:val="Heading3"/>
      </w:pPr>
      <w:r>
        <w:t xml:space="preserve">3. Порядок действий</w:t>
      </w:r>
    </w:p>
    <w:p>
      <w:pPr>
        <w:pStyle w:val="Compact"/>
        <w:numPr>
          <w:ilvl w:val="0"/>
          <w:numId w:val="1147"/>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47"/>
        </w:numPr>
      </w:pPr>
      <w:r>
        <w:t xml:space="preserve">Выберите базу данных, настроенную как БД-источник записей для каталогизации экземплярами.</w:t>
      </w:r>
    </w:p>
    <w:p>
      <w:pPr>
        <w:pStyle w:val="CaptionedFigure"/>
      </w:pPr>
      <w:r>
        <w:drawing>
          <wp:inline>
            <wp:extent cx="5293894" cy="1896176"/>
            <wp:effectExtent b="0" l="0" r="0" t="0"/>
            <wp:docPr descr="Выбор БД-источника в АРМ Каталогизатор" title="" id="552" name="Picture"/>
            <a:graphic>
              <a:graphicData uri="http://schemas.openxmlformats.org/drawingml/2006/picture">
                <pic:pic>
                  <pic:nvPicPr>
                    <pic:cNvPr descr="modules/Cataloguer/Help/CataloguerGuide/InstanceCataloging03.png" id="553" name="Picture"/>
                    <pic:cNvPicPr>
                      <a:picLocks noChangeArrowheads="1" noChangeAspect="1"/>
                    </pic:cNvPicPr>
                  </pic:nvPicPr>
                  <pic:blipFill>
                    <a:blip r:embed="rId551"/>
                    <a:stretch>
                      <a:fillRect/>
                    </a:stretch>
                  </pic:blipFill>
                  <pic:spPr bwMode="auto">
                    <a:xfrm>
                      <a:off x="0" y="0"/>
                      <a:ext cx="5293894" cy="1896176"/>
                    </a:xfrm>
                    <a:prstGeom prst="rect">
                      <a:avLst/>
                    </a:prstGeom>
                    <a:noFill/>
                    <a:ln w="9525">
                      <a:noFill/>
                      <a:headEnd/>
                      <a:tailEnd/>
                    </a:ln>
                  </pic:spPr>
                </pic:pic>
              </a:graphicData>
            </a:graphic>
          </wp:inline>
        </w:drawing>
      </w:r>
    </w:p>
    <w:p>
      <w:pPr>
        <w:pStyle w:val="ImageCaption"/>
      </w:pPr>
      <w:r>
        <w:t xml:space="preserve">Выбор БД-источника в АРМ Каталогизатор</w:t>
      </w:r>
    </w:p>
    <w:p>
      <w:pPr>
        <w:pStyle w:val="Compact"/>
        <w:numPr>
          <w:ilvl w:val="0"/>
          <w:numId w:val="1148"/>
        </w:numPr>
      </w:pPr>
      <w:r>
        <w:t xml:space="preserve">Выполните поиск нужной записи.</w:t>
      </w:r>
    </w:p>
    <w:p>
      <w:pPr>
        <w:pStyle w:val="Compact"/>
        <w:numPr>
          <w:ilvl w:val="0"/>
          <w:numId w:val="1148"/>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8"/>
        </w:numPr>
      </w:pPr>
      <w:r>
        <w:t xml:space="preserve">Откройте меню каталогизации экземплярами и выберите действие создания экземпляра.</w:t>
      </w:r>
    </w:p>
    <w:p>
      <w:pPr>
        <w:pStyle w:val="CaptionedFigure"/>
      </w:pPr>
      <w:r>
        <w:drawing>
          <wp:inline>
            <wp:extent cx="5334000" cy="1315430"/>
            <wp:effectExtent b="0" l="0" r="0" t="0"/>
            <wp:docPr descr="Вызов меню каталогизации экземплярами" title="" id="555" name="Picture"/>
            <a:graphic>
              <a:graphicData uri="http://schemas.openxmlformats.org/drawingml/2006/picture">
                <pic:pic>
                  <pic:nvPicPr>
                    <pic:cNvPr descr="modules/Cataloguer/Help/CataloguerGuide/InstanceCataloging04.png" id="556" name="Picture"/>
                    <pic:cNvPicPr>
                      <a:picLocks noChangeArrowheads="1" noChangeAspect="1"/>
                    </pic:cNvPicPr>
                  </pic:nvPicPr>
                  <pic:blipFill>
                    <a:blip r:embed="rId554"/>
                    <a:stretch>
                      <a:fillRect/>
                    </a:stretch>
                  </pic:blipFill>
                  <pic:spPr bwMode="auto">
                    <a:xfrm>
                      <a:off x="0" y="0"/>
                      <a:ext cx="5334000" cy="1315430"/>
                    </a:xfrm>
                    <a:prstGeom prst="rect">
                      <a:avLst/>
                    </a:prstGeom>
                    <a:noFill/>
                    <a:ln w="9525">
                      <a:noFill/>
                      <a:headEnd/>
                      <a:tailEnd/>
                    </a:ln>
                  </pic:spPr>
                </pic:pic>
              </a:graphicData>
            </a:graphic>
          </wp:inline>
        </w:drawing>
      </w:r>
    </w:p>
    <w:p>
      <w:pPr>
        <w:pStyle w:val="ImageCaption"/>
      </w:pPr>
      <w:r>
        <w:t xml:space="preserve">Вызов меню каталогизации экземплярами</w:t>
      </w:r>
    </w:p>
    <w:p>
      <w:pPr>
        <w:pStyle w:val="Compact"/>
        <w:numPr>
          <w:ilvl w:val="0"/>
          <w:numId w:val="1149"/>
        </w:numPr>
      </w:pPr>
      <w:r>
        <w:t xml:space="preserve">В открывшемся редакторе экземпляров заполните хотя бы одно подполе в меню</w:t>
      </w:r>
      <w:r>
        <w:t xml:space="preserve"> </w:t>
      </w:r>
      <w:r>
        <w:rPr>
          <w:rStyle w:val="VerbatimChar"/>
        </w:rPr>
        <w:t xml:space="preserve">Экземпляры</w:t>
      </w:r>
      <w:r>
        <w:t xml:space="preserve"> </w:t>
      </w:r>
      <w:r>
        <w:t xml:space="preserve">поля</w:t>
      </w:r>
      <w:r>
        <w:t xml:space="preserve"> </w:t>
      </w:r>
      <w:r>
        <w:rPr>
          <w:rStyle w:val="VerbatimChar"/>
        </w:rPr>
        <w:t xml:space="preserve">910</w:t>
      </w:r>
      <w:r>
        <w:t xml:space="preserve">.</w:t>
      </w:r>
    </w:p>
    <w:p>
      <w:pPr>
        <w:pStyle w:val="Compact"/>
        <w:numPr>
          <w:ilvl w:val="0"/>
          <w:numId w:val="1149"/>
        </w:numPr>
      </w:pPr>
      <w:r>
        <w:t xml:space="preserve">Нажмите</w:t>
      </w:r>
      <w:r>
        <w:t xml:space="preserve"> </w:t>
      </w:r>
      <w:r>
        <w:rPr>
          <w:rStyle w:val="VerbatimChar"/>
        </w:rPr>
        <w:t xml:space="preserve">Сохранить</w:t>
      </w:r>
      <w:r>
        <w:t xml:space="preserve">.</w:t>
      </w:r>
    </w:p>
    <w:p>
      <w:pPr>
        <w:pStyle w:val="Compact"/>
        <w:numPr>
          <w:ilvl w:val="0"/>
          <w:numId w:val="1149"/>
        </w:numPr>
      </w:pPr>
      <w:r>
        <w:t xml:space="preserve">Закройте окно редактора экземпляров.</w:t>
      </w:r>
    </w:p>
    <w:p>
      <w:pPr>
        <w:pStyle w:val="CaptionedFigure"/>
      </w:pPr>
      <w:r>
        <w:drawing>
          <wp:inline>
            <wp:extent cx="5334000" cy="2302104"/>
            <wp:effectExtent b="0" l="0" r="0" t="0"/>
            <wp:docPr descr="Редактор экземпляров записи" title="" id="558" name="Picture"/>
            <a:graphic>
              <a:graphicData uri="http://schemas.openxmlformats.org/drawingml/2006/picture">
                <pic:pic>
                  <pic:nvPicPr>
                    <pic:cNvPr descr="modules/Cataloguer/Help/CataloguerGuide/InstanceCataloging05.png" id="559" name="Picture"/>
                    <pic:cNvPicPr>
                      <a:picLocks noChangeArrowheads="1" noChangeAspect="1"/>
                    </pic:cNvPicPr>
                  </pic:nvPicPr>
                  <pic:blipFill>
                    <a:blip r:embed="rId557"/>
                    <a:stretch>
                      <a:fillRect/>
                    </a:stretch>
                  </pic:blipFill>
                  <pic:spPr bwMode="auto">
                    <a:xfrm>
                      <a:off x="0" y="0"/>
                      <a:ext cx="5334000" cy="2302104"/>
                    </a:xfrm>
                    <a:prstGeom prst="rect">
                      <a:avLst/>
                    </a:prstGeom>
                    <a:noFill/>
                    <a:ln w="9525">
                      <a:noFill/>
                      <a:headEnd/>
                      <a:tailEnd/>
                    </a:ln>
                  </pic:spPr>
                </pic:pic>
              </a:graphicData>
            </a:graphic>
          </wp:inline>
        </w:drawing>
      </w:r>
    </w:p>
    <w:p>
      <w:pPr>
        <w:pStyle w:val="ImageCaption"/>
      </w:pPr>
      <w:r>
        <w:t xml:space="preserve">Редактор экземпляров записи</w:t>
      </w:r>
    </w:p>
    <w:bookmarkEnd w:id="560"/>
    <w:bookmarkStart w:id="561" w:name="результат-13"/>
    <w:p>
      <w:pPr>
        <w:pStyle w:val="Heading3"/>
      </w:pPr>
      <w:r>
        <w:t xml:space="preserve">4. Результат</w:t>
      </w:r>
    </w:p>
    <w:p>
      <w:pPr>
        <w:pStyle w:val="FirstParagraph"/>
      </w:pPr>
      <w:r>
        <w:t xml:space="preserve">В локальной базе данных организации создаётся запись экземпляра, связанная с выбранной записью БД-источника.</w:t>
      </w:r>
    </w:p>
    <w:bookmarkEnd w:id="561"/>
    <w:bookmarkEnd w:id="562"/>
    <w:bookmarkStart w:id="586" w:name="inline-каталогизация"/>
    <w:p>
      <w:pPr>
        <w:pStyle w:val="Heading2"/>
      </w:pPr>
      <w:r>
        <w:t xml:space="preserve">Inline-каталогизация</w:t>
      </w:r>
    </w:p>
    <w:p>
      <w:pPr>
        <w:pStyle w:val="FirstParagraph"/>
      </w:pPr>
      <w:r>
        <w:t xml:space="preserve">Раздел подготовлен по материалам старого документа «АРМ Каталогизатор 128».</w:t>
      </w:r>
    </w:p>
    <w:bookmarkStart w:id="563" w:name="назначение-15"/>
    <w:p>
      <w:pPr>
        <w:pStyle w:val="Heading3"/>
      </w:pPr>
      <w:r>
        <w:t xml:space="preserve">1. Назначение</w:t>
      </w:r>
    </w:p>
    <w:p>
      <w:pPr>
        <w:pStyle w:val="FirstParagraph"/>
      </w:pPr>
      <w:r>
        <w:t xml:space="preserve">Inline-каталогизация позволяет создать или дополнить библиографическую запись за счёт данных, найденных во внешнем или локальном источнике заимствования.</w:t>
      </w:r>
    </w:p>
    <w:bookmarkEnd w:id="563"/>
    <w:bookmarkStart w:id="567" w:name="предварительная-настройка-1"/>
    <w:p>
      <w:pPr>
        <w:pStyle w:val="Heading3"/>
      </w:pPr>
      <w:r>
        <w:t xml:space="preserve">2. Предварительная настройка</w:t>
      </w:r>
    </w:p>
    <w:p>
      <w:pPr>
        <w:pStyle w:val="FirstParagraph"/>
      </w:pPr>
      <w:r>
        <w:t xml:space="preserve">Перед работой администратор должен настроить источник заимствования:</w:t>
      </w:r>
    </w:p>
    <w:p>
      <w:pPr>
        <w:pStyle w:val="Compact"/>
        <w:numPr>
          <w:ilvl w:val="0"/>
          <w:numId w:val="1150"/>
        </w:numPr>
      </w:pPr>
      <w:r>
        <w:t xml:space="preserve">в параметрах Каталогизатора указать БД для поиска записей inline-каталогизации;</w:t>
      </w:r>
    </w:p>
    <w:p>
      <w:pPr>
        <w:pStyle w:val="Compact"/>
        <w:numPr>
          <w:ilvl w:val="0"/>
          <w:numId w:val="1150"/>
        </w:numPr>
      </w:pPr>
      <w:r>
        <w:t xml:space="preserve">при необходимости настроить поля, которые не должны заимствоваться;</w:t>
      </w:r>
    </w:p>
    <w:p>
      <w:pPr>
        <w:pStyle w:val="Compact"/>
        <w:numPr>
          <w:ilvl w:val="0"/>
          <w:numId w:val="1150"/>
        </w:numPr>
      </w:pPr>
      <w:r>
        <w:t xml:space="preserve">в настройках БД-источника открыть</w:t>
      </w:r>
      <w:r>
        <w:t xml:space="preserve"> </w:t>
      </w:r>
      <w:r>
        <w:rPr>
          <w:rStyle w:val="VerbatimChar"/>
        </w:rPr>
        <w:t xml:space="preserve">Настройка провайдера данных</w:t>
      </w:r>
      <w:r>
        <w:t xml:space="preserve">;</w:t>
      </w:r>
    </w:p>
    <w:p>
      <w:pPr>
        <w:pStyle w:val="Compact"/>
        <w:numPr>
          <w:ilvl w:val="0"/>
          <w:numId w:val="1150"/>
        </w:numPr>
      </w:pPr>
      <w:r>
        <w:t xml:space="preserve">выбрать тип провайдера данных и параметры подключения.</w:t>
      </w:r>
    </w:p>
    <w:p>
      <w:pPr>
        <w:pStyle w:val="FirstParagraph"/>
      </w:pPr>
      <w:r>
        <w:t xml:space="preserve">Открывайте АРМ Администратор по адресу</w:t>
      </w:r>
      <w:r>
        <w:t xml:space="preserve"> </w:t>
      </w:r>
      <w:r>
        <w:rPr>
          <w:rStyle w:val="VerbatimChar"/>
        </w:rPr>
        <w:t xml:space="preserve">?id=Administrator</w:t>
      </w:r>
      <w:r>
        <w:t xml:space="preserve">.</w:t>
      </w:r>
    </w:p>
    <w:p>
      <w:pPr>
        <w:pStyle w:val="CaptionedFigure"/>
      </w:pPr>
      <w:r>
        <w:drawing>
          <wp:inline>
            <wp:extent cx="5334000" cy="4024893"/>
            <wp:effectExtent b="0" l="0" r="0" t="0"/>
            <wp:docPr descr="Настройка провайдера данных" title="" id="565" name="Picture"/>
            <a:graphic>
              <a:graphicData uri="http://schemas.openxmlformats.org/drawingml/2006/picture">
                <pic:pic>
                  <pic:nvPicPr>
                    <pic:cNvPr descr="modules/Cataloguer/Help/CataloguerGuide/InlineCataloging01.png" id="566" name="Picture"/>
                    <pic:cNvPicPr>
                      <a:picLocks noChangeArrowheads="1" noChangeAspect="1"/>
                    </pic:cNvPicPr>
                  </pic:nvPicPr>
                  <pic:blipFill>
                    <a:blip r:embed="rId564"/>
                    <a:stretch>
                      <a:fillRect/>
                    </a:stretch>
                  </pic:blipFill>
                  <pic:spPr bwMode="auto">
                    <a:xfrm>
                      <a:off x="0" y="0"/>
                      <a:ext cx="5334000" cy="4024893"/>
                    </a:xfrm>
                    <a:prstGeom prst="rect">
                      <a:avLst/>
                    </a:prstGeom>
                    <a:noFill/>
                    <a:ln w="9525">
                      <a:noFill/>
                      <a:headEnd/>
                      <a:tailEnd/>
                    </a:ln>
                  </pic:spPr>
                </pic:pic>
              </a:graphicData>
            </a:graphic>
          </wp:inline>
        </w:drawing>
      </w:r>
    </w:p>
    <w:p>
      <w:pPr>
        <w:pStyle w:val="ImageCaption"/>
      </w:pPr>
      <w:r>
        <w:t xml:space="preserve">Настройка провайдера данных</w:t>
      </w:r>
    </w:p>
    <w:p>
      <w:pPr>
        <w:pStyle w:val="BodyText"/>
      </w:pPr>
      <w:r>
        <w:t xml:space="preserve">При наличии подключения к Интернету источником может быть сводная БД ИС ЭКБСОН. При отсутствии внешнего подключения обычно используется локальная БД.</w:t>
      </w:r>
    </w:p>
    <w:bookmarkEnd w:id="567"/>
    <w:bookmarkStart w:id="580" w:name="порядок-действий-11"/>
    <w:p>
      <w:pPr>
        <w:pStyle w:val="Heading3"/>
      </w:pPr>
      <w:r>
        <w:t xml:space="preserve">3. Порядок действий</w:t>
      </w:r>
    </w:p>
    <w:p>
      <w:pPr>
        <w:pStyle w:val="Compact"/>
        <w:numPr>
          <w:ilvl w:val="0"/>
          <w:numId w:val="1151"/>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51"/>
        </w:numPr>
      </w:pPr>
      <w:r>
        <w:t xml:space="preserve">Выберите БД, в которую будут сохраняться записи при inline-каталогизации.</w:t>
      </w:r>
    </w:p>
    <w:p>
      <w:pPr>
        <w:pStyle w:val="CaptionedFigure"/>
      </w:pPr>
      <w:r>
        <w:drawing>
          <wp:inline>
            <wp:extent cx="5334000" cy="2107790"/>
            <wp:effectExtent b="0" l="0" r="0" t="0"/>
            <wp:docPr descr="Выбор БД для сохранения записи" title="" id="569" name="Picture"/>
            <a:graphic>
              <a:graphicData uri="http://schemas.openxmlformats.org/drawingml/2006/picture">
                <pic:pic>
                  <pic:nvPicPr>
                    <pic:cNvPr descr="modules/Cataloguer/Help/CataloguerGuide/InlineCataloging02.png" id="570" name="Picture"/>
                    <pic:cNvPicPr>
                      <a:picLocks noChangeArrowheads="1" noChangeAspect="1"/>
                    </pic:cNvPicPr>
                  </pic:nvPicPr>
                  <pic:blipFill>
                    <a:blip r:embed="rId568"/>
                    <a:stretch>
                      <a:fillRect/>
                    </a:stretch>
                  </pic:blipFill>
                  <pic:spPr bwMode="auto">
                    <a:xfrm>
                      <a:off x="0" y="0"/>
                      <a:ext cx="5334000" cy="2107790"/>
                    </a:xfrm>
                    <a:prstGeom prst="rect">
                      <a:avLst/>
                    </a:prstGeom>
                    <a:noFill/>
                    <a:ln w="9525">
                      <a:noFill/>
                      <a:headEnd/>
                      <a:tailEnd/>
                    </a:ln>
                  </pic:spPr>
                </pic:pic>
              </a:graphicData>
            </a:graphic>
          </wp:inline>
        </w:drawing>
      </w:r>
    </w:p>
    <w:p>
      <w:pPr>
        <w:pStyle w:val="ImageCaption"/>
      </w:pPr>
      <w:r>
        <w:t xml:space="preserve">Выбор БД для сохранения записи</w:t>
      </w:r>
    </w:p>
    <w:p>
      <w:pPr>
        <w:pStyle w:val="Compact"/>
        <w:numPr>
          <w:ilvl w:val="0"/>
          <w:numId w:val="1152"/>
        </w:numPr>
      </w:pPr>
      <w:r>
        <w:t xml:space="preserve">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572" name="Picture"/>
            <a:graphic>
              <a:graphicData uri="http://schemas.openxmlformats.org/drawingml/2006/picture">
                <pic:pic>
                  <pic:nvPicPr>
                    <pic:cNvPr descr="modules/Cataloguer/Help/CataloguerGuide/InlineCataloging03.png" id="573" name="Picture"/>
                    <pic:cNvPicPr>
                      <a:picLocks noChangeArrowheads="1" noChangeAspect="1"/>
                    </pic:cNvPicPr>
                  </pic:nvPicPr>
                  <pic:blipFill>
                    <a:blip r:embed="rId571"/>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153"/>
        </w:numPr>
      </w:pPr>
      <w:r>
        <w:t xml:space="preserve">В редакторе записи раскройте блок</w:t>
      </w:r>
      <w:r>
        <w:t xml:space="preserve"> </w:t>
      </w:r>
      <w:r>
        <w:rPr>
          <w:rStyle w:val="VerbatimChar"/>
        </w:rPr>
        <w:t xml:space="preserve">Дублетность</w:t>
      </w:r>
      <w:r>
        <w:t xml:space="preserve">, затем блок</w:t>
      </w:r>
      <w:r>
        <w:t xml:space="preserve"> </w:t>
      </w:r>
      <w:r>
        <w:rPr>
          <w:rStyle w:val="VerbatimChar"/>
        </w:rPr>
        <w:t xml:space="preserve">ISBN</w:t>
      </w:r>
      <w:r>
        <w:t xml:space="preserve">.</w:t>
      </w:r>
    </w:p>
    <w:p>
      <w:pPr>
        <w:pStyle w:val="Compact"/>
        <w:numPr>
          <w:ilvl w:val="0"/>
          <w:numId w:val="1153"/>
        </w:numPr>
      </w:pPr>
      <w:r>
        <w:t xml:space="preserve">Выделите строку добавления значения ISBN.</w:t>
      </w:r>
    </w:p>
    <w:p>
      <w:pPr>
        <w:pStyle w:val="Compact"/>
        <w:numPr>
          <w:ilvl w:val="0"/>
          <w:numId w:val="1153"/>
        </w:numPr>
      </w:pPr>
      <w:r>
        <w:t xml:space="preserve">Откройте редактирование подполя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53"/>
        </w:numPr>
      </w:pPr>
      <w:r>
        <w:t xml:space="preserve">Введите ISBN книги и нажмите</w:t>
      </w:r>
      <w:r>
        <w:t xml:space="preserve"> </w:t>
      </w:r>
      <w:r>
        <w:rPr>
          <w:rStyle w:val="VerbatimChar"/>
        </w:rPr>
        <w:t xml:space="preserve">Ok</w:t>
      </w:r>
      <w:r>
        <w:t xml:space="preserve">.</w:t>
      </w:r>
    </w:p>
    <w:p>
      <w:pPr>
        <w:pStyle w:val="CaptionedFigure"/>
      </w:pPr>
      <w:r>
        <w:drawing>
          <wp:inline>
            <wp:extent cx="5334000" cy="4689928"/>
            <wp:effectExtent b="0" l="0" r="0" t="0"/>
            <wp:docPr descr="Редактор записи" title="" id="575" name="Picture"/>
            <a:graphic>
              <a:graphicData uri="http://schemas.openxmlformats.org/drawingml/2006/picture">
                <pic:pic>
                  <pic:nvPicPr>
                    <pic:cNvPr descr="modules/Cataloguer/Help/CataloguerGuide/InlineCataloging04.png" id="576" name="Picture"/>
                    <pic:cNvPicPr>
                      <a:picLocks noChangeArrowheads="1" noChangeAspect="1"/>
                    </pic:cNvPicPr>
                  </pic:nvPicPr>
                  <pic:blipFill>
                    <a:blip r:embed="rId574"/>
                    <a:stretch>
                      <a:fillRect/>
                    </a:stretch>
                  </pic:blipFill>
                  <pic:spPr bwMode="auto">
                    <a:xfrm>
                      <a:off x="0" y="0"/>
                      <a:ext cx="5334000" cy="4689928"/>
                    </a:xfrm>
                    <a:prstGeom prst="rect">
                      <a:avLst/>
                    </a:prstGeom>
                    <a:noFill/>
                    <a:ln w="9525">
                      <a:noFill/>
                      <a:headEnd/>
                      <a:tailEnd/>
                    </a:ln>
                  </pic:spPr>
                </pic:pic>
              </a:graphicData>
            </a:graphic>
          </wp:inline>
        </w:drawing>
      </w:r>
    </w:p>
    <w:p>
      <w:pPr>
        <w:pStyle w:val="ImageCaption"/>
      </w:pPr>
      <w:r>
        <w:t xml:space="preserve">Редактор записи</w:t>
      </w:r>
    </w:p>
    <w:p>
      <w:pPr>
        <w:pStyle w:val="CaptionedFigure"/>
      </w:pPr>
      <w:r>
        <w:drawing>
          <wp:inline>
            <wp:extent cx="4831882" cy="2897204"/>
            <wp:effectExtent b="0" l="0" r="0" t="0"/>
            <wp:docPr descr="Редактор подполя ISBN" title="" id="578" name="Picture"/>
            <a:graphic>
              <a:graphicData uri="http://schemas.openxmlformats.org/drawingml/2006/picture">
                <pic:pic>
                  <pic:nvPicPr>
                    <pic:cNvPr descr="modules/Cataloguer/Help/CataloguerGuide/InlineCataloging05.png" id="579" name="Picture"/>
                    <pic:cNvPicPr>
                      <a:picLocks noChangeArrowheads="1" noChangeAspect="1"/>
                    </pic:cNvPicPr>
                  </pic:nvPicPr>
                  <pic:blipFill>
                    <a:blip r:embed="rId577"/>
                    <a:stretch>
                      <a:fillRect/>
                    </a:stretch>
                  </pic:blipFill>
                  <pic:spPr bwMode="auto">
                    <a:xfrm>
                      <a:off x="0" y="0"/>
                      <a:ext cx="4831882" cy="2897204"/>
                    </a:xfrm>
                    <a:prstGeom prst="rect">
                      <a:avLst/>
                    </a:prstGeom>
                    <a:noFill/>
                    <a:ln w="9525">
                      <a:noFill/>
                      <a:headEnd/>
                      <a:tailEnd/>
                    </a:ln>
                  </pic:spPr>
                </pic:pic>
              </a:graphicData>
            </a:graphic>
          </wp:inline>
        </w:drawing>
      </w:r>
    </w:p>
    <w:p>
      <w:pPr>
        <w:pStyle w:val="ImageCaption"/>
      </w:pPr>
      <w:r>
        <w:t xml:space="preserve">Редактор подполя ISBN</w:t>
      </w:r>
    </w:p>
    <w:p>
      <w:pPr>
        <w:pStyle w:val="Compact"/>
        <w:numPr>
          <w:ilvl w:val="0"/>
          <w:numId w:val="1154"/>
        </w:numPr>
      </w:pPr>
      <w:r>
        <w:t xml:space="preserve">Нажмите команду</w:t>
      </w:r>
      <w:r>
        <w:t xml:space="preserve"> </w:t>
      </w:r>
      <w:r>
        <w:rPr>
          <w:rStyle w:val="VerbatimChar"/>
        </w:rPr>
        <w:t xml:space="preserve">Обновить данные в редакторе</w:t>
      </w:r>
      <w:r>
        <w:t xml:space="preserve">.</w:t>
      </w:r>
    </w:p>
    <w:p>
      <w:pPr>
        <w:pStyle w:val="Compact"/>
        <w:numPr>
          <w:ilvl w:val="0"/>
          <w:numId w:val="1154"/>
        </w:numPr>
      </w:pPr>
      <w:r>
        <w:t xml:space="preserve">Нажмите команду</w:t>
      </w:r>
      <w:r>
        <w:t xml:space="preserve"> </w:t>
      </w:r>
      <w:r>
        <w:rPr>
          <w:rStyle w:val="VerbatimChar"/>
        </w:rPr>
        <w:t xml:space="preserve">Inline-каталогизация</w:t>
      </w:r>
      <w:r>
        <w:t xml:space="preserve">.</w:t>
      </w:r>
    </w:p>
    <w:p>
      <w:pPr>
        <w:pStyle w:val="Compact"/>
        <w:numPr>
          <w:ilvl w:val="0"/>
          <w:numId w:val="1154"/>
        </w:numPr>
      </w:pPr>
      <w:r>
        <w:t xml:space="preserve">Откройте предлагаемую запись с учётом данных из источника заимствования.</w:t>
      </w:r>
    </w:p>
    <w:p>
      <w:pPr>
        <w:pStyle w:val="FirstParagraph"/>
      </w:pPr>
      <w:r>
        <w:t xml:space="preserve">Команда</w:t>
      </w:r>
      <w:r>
        <w:t xml:space="preserve"> </w:t>
      </w:r>
      <w:r>
        <w:rPr>
          <w:rStyle w:val="VerbatimChar"/>
        </w:rPr>
        <w:t xml:space="preserve">Обновить данные в редакторе</w:t>
      </w:r>
      <w:r>
        <w:t xml:space="preserve"> </w:t>
      </w:r>
      <w:r>
        <w:t xml:space="preserve">обновляет контекст только открытой новой записи. Если в момент работы с черновиком выбранная БД пополняется другими пользователями или фоновыми процессами, редактор сохраняет текущую вкладку новой записи и не переходит к сторонним добавленным записям.</w:t>
      </w:r>
    </w:p>
    <w:bookmarkEnd w:id="580"/>
    <w:bookmarkStart w:id="584" w:name="заимствование-полей"/>
    <w:p>
      <w:pPr>
        <w:pStyle w:val="Heading3"/>
      </w:pPr>
      <w:r>
        <w:t xml:space="preserve">4. Заимствование полей</w:t>
      </w:r>
    </w:p>
    <w:p>
      <w:pPr>
        <w:pStyle w:val="FirstParagraph"/>
      </w:pPr>
      <w:r>
        <w:t xml:space="preserve">Можно подтвердить заимствование по отдельным полям или заимствовать все поля сразу.</w:t>
      </w:r>
    </w:p>
    <w:p>
      <w:pPr>
        <w:pStyle w:val="BodyText"/>
      </w:pPr>
      <w:r>
        <w:t xml:space="preserve">Для поэтапного заимствования раскройте нужные поля и подтвердите выбранные значения. Поля, заполненные из заимствованной записи, отображаются зелёным цветом.</w:t>
      </w:r>
    </w:p>
    <w:p>
      <w:pPr>
        <w:pStyle w:val="CaptionedFigure"/>
      </w:pPr>
      <w:r>
        <w:drawing>
          <wp:inline>
            <wp:extent cx="5334000" cy="3262115"/>
            <wp:effectExtent b="0" l="0" r="0" t="0"/>
            <wp:docPr descr="Заполнение полей при inline-каталогизации" title="" id="582" name="Picture"/>
            <a:graphic>
              <a:graphicData uri="http://schemas.openxmlformats.org/drawingml/2006/picture">
                <pic:pic>
                  <pic:nvPicPr>
                    <pic:cNvPr descr="modules/Cataloguer/Help/CataloguerGuide/InlineCataloging06.png" id="583" name="Picture"/>
                    <pic:cNvPicPr>
                      <a:picLocks noChangeArrowheads="1" noChangeAspect="1"/>
                    </pic:cNvPicPr>
                  </pic:nvPicPr>
                  <pic:blipFill>
                    <a:blip r:embed="rId581"/>
                    <a:stretch>
                      <a:fillRect/>
                    </a:stretch>
                  </pic:blipFill>
                  <pic:spPr bwMode="auto">
                    <a:xfrm>
                      <a:off x="0" y="0"/>
                      <a:ext cx="5334000" cy="3262115"/>
                    </a:xfrm>
                    <a:prstGeom prst="rect">
                      <a:avLst/>
                    </a:prstGeom>
                    <a:noFill/>
                    <a:ln w="9525">
                      <a:noFill/>
                      <a:headEnd/>
                      <a:tailEnd/>
                    </a:ln>
                  </pic:spPr>
                </pic:pic>
              </a:graphicData>
            </a:graphic>
          </wp:inline>
        </w:drawing>
      </w:r>
    </w:p>
    <w:p>
      <w:pPr>
        <w:pStyle w:val="ImageCaption"/>
      </w:pPr>
      <w:r>
        <w:t xml:space="preserve">Заполнение полей при inline-каталогизации</w:t>
      </w:r>
    </w:p>
    <w:p>
      <w:pPr>
        <w:pStyle w:val="BodyText"/>
      </w:pPr>
      <w:r>
        <w:t xml:space="preserve">Для редактирования поля или подполя выделите его и нажмите</w:t>
      </w:r>
      <w:r>
        <w:t xml:space="preserve"> </w:t>
      </w:r>
      <w:r>
        <w:rPr>
          <w:rStyle w:val="VerbatimChar"/>
        </w:rPr>
        <w:t xml:space="preserve">Enter</w:t>
      </w:r>
      <w:r>
        <w:t xml:space="preserve"> </w:t>
      </w:r>
      <w:r>
        <w:t xml:space="preserve">либо щёлкните по нему ещё раз. Двойное нажатие по выделенному полю подтверждает заимствование этого поля.</w:t>
      </w:r>
    </w:p>
    <w:p>
      <w:pPr>
        <w:pStyle w:val="BodyText"/>
      </w:pPr>
      <w:r>
        <w:t xml:space="preserve">После проверки и подтверждения необходимых полей нажмите</w:t>
      </w:r>
      <w:r>
        <w:t xml:space="preserve"> </w:t>
      </w:r>
      <w:r>
        <w:rPr>
          <w:rStyle w:val="VerbatimChar"/>
        </w:rPr>
        <w:t xml:space="preserve">Сохранить</w:t>
      </w:r>
      <w:r>
        <w:t xml:space="preserve">. Обязательными остаются поля заглавия и сведения об экземплярах.</w:t>
      </w:r>
    </w:p>
    <w:bookmarkEnd w:id="584"/>
    <w:bookmarkStart w:id="585" w:name="результат-14"/>
    <w:p>
      <w:pPr>
        <w:pStyle w:val="Heading3"/>
      </w:pPr>
      <w:r>
        <w:t xml:space="preserve">5. Результат</w:t>
      </w:r>
    </w:p>
    <w:p>
      <w:pPr>
        <w:pStyle w:val="FirstParagraph"/>
      </w:pPr>
      <w:r>
        <w:t xml:space="preserve">В выбранной БД создаётся или дополняется библиографическая запись с данными, заимствованными из настроенного источника.</w:t>
      </w:r>
    </w:p>
    <w:bookmarkEnd w:id="585"/>
    <w:bookmarkEnd w:id="586"/>
    <w:bookmarkEnd w:id="58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1"/>
  </w:num>
  <w:num w:numId="1091">
    <w:abstractNumId w:val="991"/>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1"/>
  </w:num>
  <w:num w:numId="1095">
    <w:abstractNumId w:val="991"/>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1"/>
  </w:num>
  <w:num w:numId="1098">
    <w:abstractNumId w:val="991"/>
  </w:num>
  <w:num w:numId="1099">
    <w:abstractNumId w:val="991"/>
  </w:num>
  <w:num w:numId="11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6">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107">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9">
    <w:abstractNumId w:val="991"/>
  </w:num>
  <w:num w:numId="1110">
    <w:abstractNumId w:val="991"/>
  </w:num>
  <w:num w:numId="11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7">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5">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2">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4">
    <w:abstractNumId w:val="991"/>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0">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2">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1"/>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50">
    <w:abstractNumId w:val="991"/>
  </w:num>
  <w:num w:numId="11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21" Target="media/rId221.png" /><Relationship Type="http://schemas.openxmlformats.org/officeDocument/2006/relationships/image" Id="rId224" Target="media/rId224.png" /><Relationship Type="http://schemas.openxmlformats.org/officeDocument/2006/relationships/image" Id="rId229" Target="media/rId229.png" /><Relationship Type="http://schemas.openxmlformats.org/officeDocument/2006/relationships/image" Id="rId232" Target="media/rId232.png" /><Relationship Type="http://schemas.openxmlformats.org/officeDocument/2006/relationships/image" Id="rId236" Target="media/rId236.png" /><Relationship Type="http://schemas.openxmlformats.org/officeDocument/2006/relationships/image" Id="rId239" Target="media/rId239.png" /><Relationship Type="http://schemas.openxmlformats.org/officeDocument/2006/relationships/image" Id="rId468" Target="media/rId468.png" /><Relationship Type="http://schemas.openxmlformats.org/officeDocument/2006/relationships/image" Id="rId471" Target="media/rId471.png" /><Relationship Type="http://schemas.openxmlformats.org/officeDocument/2006/relationships/image" Id="rId475" Target="media/rId475.png" /><Relationship Type="http://schemas.openxmlformats.org/officeDocument/2006/relationships/image" Id="rId478" Target="media/rId478.png" /><Relationship Type="http://schemas.openxmlformats.org/officeDocument/2006/relationships/image" Id="rId293" Target="media/rId293.png" /><Relationship Type="http://schemas.openxmlformats.org/officeDocument/2006/relationships/image" Id="rId296" Target="media/rId296.png" /><Relationship Type="http://schemas.openxmlformats.org/officeDocument/2006/relationships/image" Id="rId246" Target="media/rId246.png" /><Relationship Type="http://schemas.openxmlformats.org/officeDocument/2006/relationships/image" Id="rId249" Target="media/rId249.png" /><Relationship Type="http://schemas.openxmlformats.org/officeDocument/2006/relationships/image" Id="rId316" Target="media/rId316.png" /><Relationship Type="http://schemas.openxmlformats.org/officeDocument/2006/relationships/image" Id="rId319" Target="media/rId319.png" /><Relationship Type="http://schemas.openxmlformats.org/officeDocument/2006/relationships/image" Id="rId260" Target="media/rId260.png" /><Relationship Type="http://schemas.openxmlformats.org/officeDocument/2006/relationships/image" Id="rId268" Target="media/rId268.png" /><Relationship Type="http://schemas.openxmlformats.org/officeDocument/2006/relationships/image" Id="rId264" Target="media/rId264.png" /><Relationship Type="http://schemas.openxmlformats.org/officeDocument/2006/relationships/image" Id="rId257" Target="media/rId257.png" /><Relationship Type="http://schemas.openxmlformats.org/officeDocument/2006/relationships/image" Id="rId365" Target="media/rId365.png" /><Relationship Type="http://schemas.openxmlformats.org/officeDocument/2006/relationships/image" Id="rId369" Target="media/rId369.png" /><Relationship Type="http://schemas.openxmlformats.org/officeDocument/2006/relationships/image" Id="rId373" Target="media/rId373.png" /><Relationship Type="http://schemas.openxmlformats.org/officeDocument/2006/relationships/image" Id="rId377" Target="media/rId377.png" /><Relationship Type="http://schemas.openxmlformats.org/officeDocument/2006/relationships/image" Id="rId381" Target="media/rId381.png" /><Relationship Type="http://schemas.openxmlformats.org/officeDocument/2006/relationships/image" Id="rId385" Target="media/rId385.png" /><Relationship Type="http://schemas.openxmlformats.org/officeDocument/2006/relationships/image" Id="rId350" Target="media/rId350.png" /><Relationship Type="http://schemas.openxmlformats.org/officeDocument/2006/relationships/image" Id="rId353" Target="media/rId353.png" /><Relationship Type="http://schemas.openxmlformats.org/officeDocument/2006/relationships/image" Id="rId356" Target="media/rId356.png" /><Relationship Type="http://schemas.openxmlformats.org/officeDocument/2006/relationships/image" Id="rId392" Target="media/rId392.png" /><Relationship Type="http://schemas.openxmlformats.org/officeDocument/2006/relationships/image" Id="rId564" Target="media/rId564.png" /><Relationship Type="http://schemas.openxmlformats.org/officeDocument/2006/relationships/image" Id="rId568" Target="media/rId568.png" /><Relationship Type="http://schemas.openxmlformats.org/officeDocument/2006/relationships/image" Id="rId571" Target="media/rId571.png" /><Relationship Type="http://schemas.openxmlformats.org/officeDocument/2006/relationships/image" Id="rId574" Target="media/rId574.png" /><Relationship Type="http://schemas.openxmlformats.org/officeDocument/2006/relationships/image" Id="rId577" Target="media/rId577.png" /><Relationship Type="http://schemas.openxmlformats.org/officeDocument/2006/relationships/image" Id="rId581" Target="media/rId581.png" /><Relationship Type="http://schemas.openxmlformats.org/officeDocument/2006/relationships/image" Id="rId544" Target="media/rId544.png" /><Relationship Type="http://schemas.openxmlformats.org/officeDocument/2006/relationships/image" Id="rId547" Target="media/rId547.png" /><Relationship Type="http://schemas.openxmlformats.org/officeDocument/2006/relationships/image" Id="rId551" Target="media/rId551.png" /><Relationship Type="http://schemas.openxmlformats.org/officeDocument/2006/relationships/image" Id="rId554" Target="media/rId554.png" /><Relationship Type="http://schemas.openxmlformats.org/officeDocument/2006/relationships/image" Id="rId557" Target="media/rId557.png" /><Relationship Type="http://schemas.openxmlformats.org/officeDocument/2006/relationships/image" Id="rId485" Target="media/rId485.png" /><Relationship Type="http://schemas.openxmlformats.org/officeDocument/2006/relationships/image" Id="rId488" Target="media/rId488.png" /><Relationship Type="http://schemas.openxmlformats.org/officeDocument/2006/relationships/image" Id="rId492" Target="media/rId492.png" /><Relationship Type="http://schemas.openxmlformats.org/officeDocument/2006/relationships/image" Id="rId495" Target="media/rId495.png" /><Relationship Type="http://schemas.openxmlformats.org/officeDocument/2006/relationships/image" Id="rId499" Target="media/rId499.png" /><Relationship Type="http://schemas.openxmlformats.org/officeDocument/2006/relationships/image" Id="rId502" Target="media/rId502.png" /><Relationship Type="http://schemas.openxmlformats.org/officeDocument/2006/relationships/image" Id="rId326" Target="media/rId326.png" /><Relationship Type="http://schemas.openxmlformats.org/officeDocument/2006/relationships/image" Id="rId329" Target="media/rId329.png" /><Relationship Type="http://schemas.openxmlformats.org/officeDocument/2006/relationships/image" Id="rId332" Target="media/rId332.png" /><Relationship Type="http://schemas.openxmlformats.org/officeDocument/2006/relationships/image" Id="rId435" Target="media/rId435.png" /><Relationship Type="http://schemas.openxmlformats.org/officeDocument/2006/relationships/image" Id="rId438" Target="media/rId438.png" /><Relationship Type="http://schemas.openxmlformats.org/officeDocument/2006/relationships/image" Id="rId442" Target="media/rId442.png" /><Relationship Type="http://schemas.openxmlformats.org/officeDocument/2006/relationships/image" Id="rId445" Target="media/rId445.png" /><Relationship Type="http://schemas.openxmlformats.org/officeDocument/2006/relationships/image" Id="rId450" Target="media/rId450.png" /><Relationship Type="http://schemas.openxmlformats.org/officeDocument/2006/relationships/image" Id="rId453" Target="media/rId453.png" /><Relationship Type="http://schemas.openxmlformats.org/officeDocument/2006/relationships/image" Id="rId457" Target="media/rId457.png" /><Relationship Type="http://schemas.openxmlformats.org/officeDocument/2006/relationships/image" Id="rId460" Target="media/rId460.png" /><Relationship Type="http://schemas.openxmlformats.org/officeDocument/2006/relationships/image" Id="rId413" Target="media/rId413.png" /><Relationship Type="http://schemas.openxmlformats.org/officeDocument/2006/relationships/image" Id="rId416" Target="media/rId416.png" /><Relationship Type="http://schemas.openxmlformats.org/officeDocument/2006/relationships/image" Id="rId420" Target="media/rId420.png" /><Relationship Type="http://schemas.openxmlformats.org/officeDocument/2006/relationships/image" Id="rId423" Target="media/rId423.png" /><Relationship Type="http://schemas.openxmlformats.org/officeDocument/2006/relationships/image" Id="rId428" Target="media/rId428.png" /><Relationship Type="http://schemas.openxmlformats.org/officeDocument/2006/relationships/image" Id="rId400" Target="media/rId400.png" /><Relationship Type="http://schemas.openxmlformats.org/officeDocument/2006/relationships/image" Id="rId403" Target="media/rId403.png" /><Relationship Type="http://schemas.openxmlformats.org/officeDocument/2006/relationships/image" Id="rId508" Target="media/rId508.png" /><Relationship Type="http://schemas.openxmlformats.org/officeDocument/2006/relationships/image" Id="rId511" Target="media/rId511.png" /><Relationship Type="http://schemas.openxmlformats.org/officeDocument/2006/relationships/image" Id="rId516" Target="media/rId516.png" /><Relationship Type="http://schemas.openxmlformats.org/officeDocument/2006/relationships/image" Id="rId520" Target="media/rId520.png" /><Relationship Type="http://schemas.openxmlformats.org/officeDocument/2006/relationships/image" Id="rId523" Target="media/rId523.png" /><Relationship Type="http://schemas.openxmlformats.org/officeDocument/2006/relationships/image" Id="rId527" Target="media/rId527.png" /><Relationship Type="http://schemas.openxmlformats.org/officeDocument/2006/relationships/image" Id="rId530" Target="media/rId530.png" /><Relationship Type="http://schemas.openxmlformats.org/officeDocument/2006/relationships/image" Id="rId535" Target="media/rId535.png" /><Relationship Type="http://schemas.openxmlformats.org/officeDocument/2006/relationships/image" Id="rId303" Target="media/rId303.png" /><Relationship Type="http://schemas.openxmlformats.org/officeDocument/2006/relationships/image" Id="rId308" Target="media/rId308.png" /><Relationship Type="http://schemas.openxmlformats.org/officeDocument/2006/relationships/image" Id="rId339" Target="media/rId339.png" /><Relationship Type="http://schemas.openxmlformats.org/officeDocument/2006/relationships/hyperlink" Id="rId277" Target="?id=Help/Show&amp;m=Bookland/Help/Interface/RFID" TargetMode="External" /><Relationship Type="http://schemas.openxmlformats.org/officeDocument/2006/relationships/hyperlink" Id="rId426" Target="?id=Help/Show&amp;m=Cabinet/Help/SavedSearchRequests" TargetMode="External" /><Relationship Type="http://schemas.openxmlformats.org/officeDocument/2006/relationships/hyperlink" Id="rId538" Target="?id=Help/Show&amp;m=Cataloguer/Help/CataloguerGuide/BasketActions" TargetMode="External" /><Relationship Type="http://schemas.openxmlformats.org/officeDocument/2006/relationships/hyperlink" Id="rId196" Target="?id=Help/Show&amp;m=Cataloguer/Help/CataloguerGuide/BibliographicRecords/CatalogingWorkflow" TargetMode="External" /><Relationship Type="http://schemas.openxmlformats.org/officeDocument/2006/relationships/hyperlink" Id="rId47" Target="?id=Help/Show&amp;m=Cataloguer/Help/CataloguerGuide/BibliographicRecords/CommonFields" TargetMode="External" /><Relationship Type="http://schemas.openxmlformats.org/officeDocument/2006/relationships/hyperlink" Id="rId36" Target="?id=Help/Show&amp;m=Cataloguer/Help/CataloguerGuide/BibliographicRecords/GeneralRules" TargetMode="External" /><Relationship Type="http://schemas.openxmlformats.org/officeDocument/2006/relationships/hyperlink" Id="rId12" Target="?id=Help/Show&amp;m=Cataloguer/Help/CataloguerGuide/CopyRecord" TargetMode="External" /><Relationship Type="http://schemas.openxmlformats.org/officeDocument/2006/relationships/hyperlink" Id="rId10" Target="?id=Help/Show&amp;m=Cataloguer/Help/CataloguerGuide/CreateRecord" TargetMode="External" /><Relationship Type="http://schemas.openxmlformats.org/officeDocument/2006/relationships/hyperlink" Id="rId11" Target="?id=Help/Show&amp;m=Cataloguer/Help/CataloguerGuide/EditRecord" TargetMode="External" /><Relationship Type="http://schemas.openxmlformats.org/officeDocument/2006/relationships/hyperlink" Id="rId362" Target="?id=Help/Show&amp;m=Cataloguer/Help/CataloguerGuide/ExportRecords" TargetMode="External" /><Relationship Type="http://schemas.openxmlformats.org/officeDocument/2006/relationships/hyperlink" Id="rId157" Target="?id=Help/Show&amp;m=Cataloguer/Help/CataloguerGuide/ImportRecords" TargetMode="External" /><Relationship Type="http://schemas.openxmlformats.org/officeDocument/2006/relationships/hyperlink" Id="rId13" Target="?id=Help/Show&amp;m=Cataloguer/Help/CataloguerGuide/InlineCataloging" TargetMode="External" /><Relationship Type="http://schemas.openxmlformats.org/officeDocument/2006/relationships/hyperlink" Id="rId164" Target="?id=Help/Show&amp;m=Cataloguer/Help/CataloguerGuide/PeriodicalLinks" TargetMode="External" /><Relationship Type="http://schemas.openxmlformats.org/officeDocument/2006/relationships/hyperlink" Id="rId185" Target="?id=Help/Show&amp;m=Cataloguer/Help/CataloguerGuide/PrintRecords" TargetMode="External" /><Relationship Type="http://schemas.openxmlformats.org/officeDocument/2006/relationships/hyperlink" Id="rId533" Target="?id=Help/Show&amp;m=Cataloguer/Help/CataloguerGuide/RecordDetailsActions" TargetMode="External" /><Relationship Type="http://schemas.openxmlformats.org/officeDocument/2006/relationships/hyperlink" Id="rId263" Target="?id=Help/Show&amp;m=Cataloguer/Help/CataloguerGuide/RfidInput" TargetMode="External" /><Relationship Type="http://schemas.openxmlformats.org/officeDocument/2006/relationships/hyperlink" Id="rId211" Target="?id=Help/Show&amp;m=Cataloguer/Help/CataloguerGuide/UnionCatalogActions" TargetMode="External" /><Relationship Type="http://schemas.openxmlformats.org/officeDocument/2006/relationships/hyperlink" Id="rId398" Target="?id=Help/Show&amp;m=Cataloguer/Help/Interface/Dictionary" TargetMode="External" /><Relationship Type="http://schemas.openxmlformats.org/officeDocument/2006/relationships/hyperlink" Id="rId177" Target="?id=Help/Show&amp;m=Complectator/Help/UserGuide/ProvFond" TargetMode="External" /><Relationship Type="http://schemas.openxmlformats.org/officeDocument/2006/relationships/hyperlink" Id="rId179" Target="?id=Help/Show&amp;m=Complectator/Help/UserGuide/ProvFondArchive" TargetMode="External" /><Relationship Type="http://schemas.openxmlformats.org/officeDocument/2006/relationships/hyperlink" Id="rId178" Target="?id=Help/Show&amp;m=Complectator/Help/UserGuide/ProvFondReport" TargetMode="External" /><Relationship Type="http://schemas.openxmlformats.org/officeDocument/2006/relationships/hyperlink" Id="rId219" Target="?id=Help/Show&amp;m=FT/Help/UserGuide/Manage" TargetMode="External" /><Relationship Type="http://schemas.openxmlformats.org/officeDocument/2006/relationships/hyperlink" Id="rId172" Target="?id=Help/Show&amp;m=GlobalCorrection/Help/Correca" TargetMode="External" /><Relationship Type="http://schemas.openxmlformats.org/officeDocument/2006/relationships/hyperlink" Id="rId155" Target="?id=Help/Show&amp;m=GlobalCorrection/Help/Include" TargetMode="External" /><Relationship Type="http://schemas.openxmlformats.org/officeDocument/2006/relationships/hyperlink" Id="rId543" Target="?id=Help/Show&amp;m=Help/ModuleRoot&amp;module=Organisations" TargetMode="External" /><Relationship Type="http://schemas.openxmlformats.org/officeDocument/2006/relationships/hyperlink" Id="rId345" Target="?id=Help/Show&amp;m=TabForms/Help/StatisticalForms" TargetMode="External" /></Relationships>
</file>

<file path=word/_rels/footnotes.xml.rels><?xml version="1.0" encoding="UTF-8"?><Relationships xmlns="http://schemas.openxmlformats.org/package/2006/relationships"><Relationship Type="http://schemas.openxmlformats.org/officeDocument/2006/relationships/hyperlink" Id="rId277" Target="?id=Help/Show&amp;m=Bookland/Help/Interface/RFID" TargetMode="External" /><Relationship Type="http://schemas.openxmlformats.org/officeDocument/2006/relationships/hyperlink" Id="rId426" Target="?id=Help/Show&amp;m=Cabinet/Help/SavedSearchRequests" TargetMode="External" /><Relationship Type="http://schemas.openxmlformats.org/officeDocument/2006/relationships/hyperlink" Id="rId538" Target="?id=Help/Show&amp;m=Cataloguer/Help/CataloguerGuide/BasketActions" TargetMode="External" /><Relationship Type="http://schemas.openxmlformats.org/officeDocument/2006/relationships/hyperlink" Id="rId196" Target="?id=Help/Show&amp;m=Cataloguer/Help/CataloguerGuide/BibliographicRecords/CatalogingWorkflow" TargetMode="External" /><Relationship Type="http://schemas.openxmlformats.org/officeDocument/2006/relationships/hyperlink" Id="rId47" Target="?id=Help/Show&amp;m=Cataloguer/Help/CataloguerGuide/BibliographicRecords/CommonFields" TargetMode="External" /><Relationship Type="http://schemas.openxmlformats.org/officeDocument/2006/relationships/hyperlink" Id="rId36" Target="?id=Help/Show&amp;m=Cataloguer/Help/CataloguerGuide/BibliographicRecords/GeneralRules" TargetMode="External" /><Relationship Type="http://schemas.openxmlformats.org/officeDocument/2006/relationships/hyperlink" Id="rId12" Target="?id=Help/Show&amp;m=Cataloguer/Help/CataloguerGuide/CopyRecord" TargetMode="External" /><Relationship Type="http://schemas.openxmlformats.org/officeDocument/2006/relationships/hyperlink" Id="rId10" Target="?id=Help/Show&amp;m=Cataloguer/Help/CataloguerGuide/CreateRecord" TargetMode="External" /><Relationship Type="http://schemas.openxmlformats.org/officeDocument/2006/relationships/hyperlink" Id="rId11" Target="?id=Help/Show&amp;m=Cataloguer/Help/CataloguerGuide/EditRecord" TargetMode="External" /><Relationship Type="http://schemas.openxmlformats.org/officeDocument/2006/relationships/hyperlink" Id="rId362" Target="?id=Help/Show&amp;m=Cataloguer/Help/CataloguerGuide/ExportRecords" TargetMode="External" /><Relationship Type="http://schemas.openxmlformats.org/officeDocument/2006/relationships/hyperlink" Id="rId157" Target="?id=Help/Show&amp;m=Cataloguer/Help/CataloguerGuide/ImportRecords" TargetMode="External" /><Relationship Type="http://schemas.openxmlformats.org/officeDocument/2006/relationships/hyperlink" Id="rId13" Target="?id=Help/Show&amp;m=Cataloguer/Help/CataloguerGuide/InlineCataloging" TargetMode="External" /><Relationship Type="http://schemas.openxmlformats.org/officeDocument/2006/relationships/hyperlink" Id="rId164" Target="?id=Help/Show&amp;m=Cataloguer/Help/CataloguerGuide/PeriodicalLinks" TargetMode="External" /><Relationship Type="http://schemas.openxmlformats.org/officeDocument/2006/relationships/hyperlink" Id="rId185" Target="?id=Help/Show&amp;m=Cataloguer/Help/CataloguerGuide/PrintRecords" TargetMode="External" /><Relationship Type="http://schemas.openxmlformats.org/officeDocument/2006/relationships/hyperlink" Id="rId533" Target="?id=Help/Show&amp;m=Cataloguer/Help/CataloguerGuide/RecordDetailsActions" TargetMode="External" /><Relationship Type="http://schemas.openxmlformats.org/officeDocument/2006/relationships/hyperlink" Id="rId263" Target="?id=Help/Show&amp;m=Cataloguer/Help/CataloguerGuide/RfidInput" TargetMode="External" /><Relationship Type="http://schemas.openxmlformats.org/officeDocument/2006/relationships/hyperlink" Id="rId211" Target="?id=Help/Show&amp;m=Cataloguer/Help/CataloguerGuide/UnionCatalogActions" TargetMode="External" /><Relationship Type="http://schemas.openxmlformats.org/officeDocument/2006/relationships/hyperlink" Id="rId398" Target="?id=Help/Show&amp;m=Cataloguer/Help/Interface/Dictionary" TargetMode="External" /><Relationship Type="http://schemas.openxmlformats.org/officeDocument/2006/relationships/hyperlink" Id="rId177" Target="?id=Help/Show&amp;m=Complectator/Help/UserGuide/ProvFond" TargetMode="External" /><Relationship Type="http://schemas.openxmlformats.org/officeDocument/2006/relationships/hyperlink" Id="rId179" Target="?id=Help/Show&amp;m=Complectator/Help/UserGuide/ProvFondArchive" TargetMode="External" /><Relationship Type="http://schemas.openxmlformats.org/officeDocument/2006/relationships/hyperlink" Id="rId178" Target="?id=Help/Show&amp;m=Complectator/Help/UserGuide/ProvFondReport" TargetMode="External" /><Relationship Type="http://schemas.openxmlformats.org/officeDocument/2006/relationships/hyperlink" Id="rId219" Target="?id=Help/Show&amp;m=FT/Help/UserGuide/Manage" TargetMode="External" /><Relationship Type="http://schemas.openxmlformats.org/officeDocument/2006/relationships/hyperlink" Id="rId172" Target="?id=Help/Show&amp;m=GlobalCorrection/Help/Correca" TargetMode="External" /><Relationship Type="http://schemas.openxmlformats.org/officeDocument/2006/relationships/hyperlink" Id="rId155" Target="?id=Help/Show&amp;m=GlobalCorrection/Help/Include" TargetMode="External" /><Relationship Type="http://schemas.openxmlformats.org/officeDocument/2006/relationships/hyperlink" Id="rId543" Target="?id=Help/Show&amp;m=Help/ModuleRoot&amp;module=Organisations" TargetMode="External" /><Relationship Type="http://schemas.openxmlformats.org/officeDocument/2006/relationships/hyperlink" Id="rId345" Target="?id=Help/Show&amp;m=TabForms/Help/StatisticalForm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2026-10-10T01:03:01Z</dcterms:created>
  <dcterms:modified xsi:type="dcterms:W3CDTF">2026-10-10T01:03:01Z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