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предоставляет системе единый слой работы с базами данных. Через него выполняются открытие БД, поиск, чтение и запись записей, форматирование, работа со словарем, глобальная корректировка, полнотекстовый поиск, служебные операции индексирования и получение файлов БД.</w:t>
      </w:r>
    </w:p>
    <w:p>
      <w:pPr>
        <w:pStyle w:val="BodyText"/>
      </w:pPr>
      <w:r>
        <w:t xml:space="preserve">Обычное чтение и сохранение записей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создает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поле сохраняется, если уже присутствует в записи, но его создание и изменение относится к явным операциям подсистемы прав или доменных модулей. Подробнее см.</w:t>
      </w:r>
      <w:r>
        <w:t xml:space="preserve"> </w:t>
      </w:r>
      <w:hyperlink r:id="rId9">
        <w:r>
          <w:rPr>
            <w:rStyle w:val="Hyperlink"/>
          </w:rPr>
          <w:t xml:space="preserve">служебное поле 113</w:t>
        </w:r>
      </w:hyperlink>
      <w:r>
        <w:t xml:space="preserve">.</w:t>
      </w:r>
    </w:p>
    <w:p>
      <w:pPr>
        <w:pStyle w:val="BodyText"/>
      </w:pPr>
      <w:r>
        <w:t xml:space="preserve">Физический источник данных скрыт за провайдером данных. Для остальной системы база данных выглядит единообразно независимо от того, где реально находятся записи: в локальной БД ИРБИС, на сетевом сервере ИРБИС 64, во внешнем Web-каталоге или в логическом объединении нескольких БД.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Провайдеры данных</w:t>
            </w:r>
          </w:p>
        </w:tc>
      </w:tr>
    </w:tbl>
    <w:p>
      <w:pPr>
        <w:pStyle w:val="ImageCaption"/>
      </w:pPr>
      <w:r>
        <w:t xml:space="preserve">Провайдеры данных</w:t>
      </w:r>
    </w:p>
    <w:bookmarkStart w:id="10" w:name="открытие-бд"/>
    <w:p>
      <w:pPr>
        <w:pStyle w:val="Heading2"/>
      </w:pPr>
      <w:r>
        <w:t xml:space="preserve">1. Открытие БД</w:t>
      </w:r>
    </w:p>
    <w:p>
      <w:pPr>
        <w:pStyle w:val="FirstParagraph"/>
      </w:pPr>
      <w:r>
        <w:t xml:space="preserve">При открытии БД модуль читает INI-настройки базы и проверяет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SID заполнен, параметры соединения провайдера берутся из связанной записи конфигурации, а имя БД на подключаемом сервере берется из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передается провайдеру как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. Если поле пусто, модуль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 и выполняет миграцию: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удаляет секцию и оставляет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пустым, для остальных типов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создает или переиспользует typed-запись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с параметрами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, записывает ее SID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удаляет секцию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секции, используется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.</w:t>
      </w:r>
    </w:p>
    <w:p>
      <w:pPr>
        <w:pStyle w:val="BodyText"/>
      </w:pPr>
      <w:r>
        <w:t xml:space="preserve">Если БД временно помечена как недоступная или провайдер не удалось инициализировать, открытие возвращает ошибку</w:t>
      </w:r>
      <w:r>
        <w:t xml:space="preserve"> </w:t>
      </w:r>
      <w:r>
        <w:rPr>
          <w:rStyle w:val="VerbatimChar"/>
        </w:rPr>
        <w:t xml:space="preserve">-109</w:t>
      </w:r>
      <w:r>
        <w:t xml:space="preserve">.</w:t>
      </w:r>
    </w:p>
    <w:bookmarkEnd w:id="10"/>
    <w:bookmarkStart w:id="13" w:name="настройка-бд"/>
    <w:p>
      <w:pPr>
        <w:pStyle w:val="Heading2"/>
      </w:pPr>
      <w:r>
        <w:t xml:space="preserve">2. Настройка БД</w:t>
      </w:r>
    </w:p>
    <w:p>
      <w:pPr>
        <w:pStyle w:val="FirstParagraph"/>
      </w:pPr>
      <w:r>
        <w:t xml:space="preserve">Записи баз данных администрируются как объекты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В карточке БД доступны:</w:t>
      </w:r>
    </w:p>
    <w:p>
      <w:pPr>
        <w:pStyle w:val="Compact"/>
        <w:numPr>
          <w:ilvl w:val="0"/>
          <w:numId w:val="1001"/>
        </w:numPr>
      </w:pPr>
      <w:r>
        <w:t xml:space="preserve">наименование и описание БД;</w:t>
      </w:r>
    </w:p>
    <w:p>
      <w:pPr>
        <w:pStyle w:val="Compact"/>
        <w:numPr>
          <w:ilvl w:val="0"/>
          <w:numId w:val="1001"/>
        </w:numPr>
      </w:pPr>
      <w:r>
        <w:t xml:space="preserve">признак доступа только на чтение;</w:t>
      </w:r>
    </w:p>
    <w:p>
      <w:pPr>
        <w:pStyle w:val="Compact"/>
        <w:numPr>
          <w:ilvl w:val="0"/>
          <w:numId w:val="1001"/>
        </w:numPr>
      </w:pPr>
      <w:r>
        <w:t xml:space="preserve">признак БД с данными о пользователях;</w:t>
      </w:r>
    </w:p>
    <w:p>
      <w:pPr>
        <w:pStyle w:val="Compact"/>
        <w:numPr>
          <w:ilvl w:val="0"/>
          <w:numId w:val="1001"/>
        </w:numPr>
      </w:pPr>
      <w:r>
        <w:t xml:space="preserve">выбор записи конфигурации провайдера данных;</w:t>
      </w:r>
    </w:p>
    <w:p>
      <w:pPr>
        <w:pStyle w:val="Compact"/>
        <w:numPr>
          <w:ilvl w:val="0"/>
          <w:numId w:val="1001"/>
        </w:numPr>
      </w:pPr>
      <w:r>
        <w:t xml:space="preserve">имя БД на подключаемом сервере для выбранной конфигурации провайдера;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и актуализация словаря через очередь задач;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редактор схемы БД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кэшированных данных после изменения справочников, форматов и MNU-файлов.</w:t>
      </w:r>
    </w:p>
    <w:p>
      <w:pPr>
        <w:pStyle w:val="FirstParagraph"/>
      </w:pPr>
      <w:r>
        <w:t xml:space="preserve">Административные параметры провайдеров хранятся в typed-записях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 Тип провайдера не хранится как отдельный параметр конфигурации: он вычисляется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этой записи.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для этих записей есть раздел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 </w:t>
      </w:r>
      <w:r>
        <w:t xml:space="preserve">с кнопками управления по доступным модулям</w:t>
      </w:r>
      <w:r>
        <w:t xml:space="preserve"> </w:t>
      </w:r>
      <w:r>
        <w:rPr>
          <w:rStyle w:val="VerbatimChar"/>
        </w:rPr>
        <w:t xml:space="preserve">DP_*</w:t>
      </w:r>
      <w:r>
        <w:t xml:space="preserve">. Каждая кнопка открывает список записей своего типа провайдера.</w:t>
      </w:r>
    </w:p>
    <w:bookmarkEnd w:id="13"/>
    <w:bookmarkStart w:id="14" w:name="служебные-параметры-записи-бд"/>
    <w:p>
      <w:pPr>
        <w:pStyle w:val="Heading2"/>
      </w:pPr>
      <w:r>
        <w:t xml:space="preserve">3. Служебные параметры записи БД</w:t>
      </w:r>
    </w:p>
    <w:p>
      <w:pPr>
        <w:pStyle w:val="FirstParagraph"/>
      </w:pPr>
      <w:r>
        <w:t xml:space="preserve">В системных настройках записи БД используются поисковые выражения и префиксы: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для вывода всех записей БД.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"V=$"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Префикс поиска уникальной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I=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типу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V=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Подполе,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221^A</w:t>
            </w:r>
          </w:p>
        </w:tc>
        <w:tc>
          <w:tcPr/>
          <w:p>
            <w:pPr>
              <w:pStyle w:val="Compact"/>
            </w:pPr>
            <w:r>
              <w:t xml:space="preserve">SID записи конфигурации провайдера данных. В редакторе БД поле выводится через выбор записи</w:t>
            </w:r>
            <w:r>
              <w:t xml:space="preserve"> </w:t>
            </w:r>
            <w:r>
              <w:rPr>
                <w:rStyle w:val="VerbatimChar"/>
              </w:rPr>
              <w:t xml:space="preserve">DP_*</w:t>
            </w:r>
            <w:r>
              <w:t xml:space="preserve">. Если поле пустое, провайдер считается локальным либо мигрируется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Передается выбранному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; при миграции переносится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218^A</w:t>
            </w:r>
          </w:p>
        </w:tc>
        <w:tc>
          <w:tcPr/>
          <w:p>
            <w:pPr>
              <w:pStyle w:val="Compact"/>
            </w:pPr>
            <w:r>
              <w:t xml:space="preserve">Включение префиксной сортировки.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219</w:t>
            </w:r>
          </w:p>
        </w:tc>
        <w:tc>
          <w:tcPr/>
          <w:p>
            <w:pPr>
              <w:pStyle w:val="Compact"/>
            </w:pPr>
            <w:r>
              <w:t xml:space="preserve">Набор критериев сортировки: имя формата или префикс и отображаемое название.</w:t>
            </w:r>
          </w:p>
        </w:tc>
      </w:tr>
    </w:tbl>
    <w:p>
      <w:pPr>
        <w:pStyle w:val="BodyText"/>
      </w:pPr>
      <w:r>
        <w:t xml:space="preserve">После сохранения новой записи БД модуль создает БД через основной провайдер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сбрасывает кэш меню имен БД, чтобы новая база появилась в системных списках.</w:t>
      </w:r>
    </w:p>
    <w:bookmarkEnd w:id="14"/>
    <w:bookmarkStart w:id="15" w:name="импорт-из-внешних-систем"/>
    <w:p>
      <w:pPr>
        <w:pStyle w:val="Heading2"/>
      </w:pPr>
      <w:r>
        <w:t xml:space="preserve">4. Импорт из внешних систем</w:t>
      </w:r>
    </w:p>
    <w:p>
      <w:pPr>
        <w:pStyle w:val="FirstParagraph"/>
      </w:pPr>
      <w:r>
        <w:t xml:space="preserve">Если запись БД связана со сводным каталогом, в карточке появляются настройки импорта из внешних систем. Текущий код поддерживает запуск полной выгрузки через очередь задач для источников</w:t>
      </w:r>
      <w:r>
        <w:t xml:space="preserve"> </w:t>
      </w:r>
      <w:r>
        <w:rPr>
          <w:rStyle w:val="VerbatimChar"/>
        </w:rPr>
        <w:t xml:space="preserve">MarcWeb2</w:t>
      </w:r>
      <w:r>
        <w:t xml:space="preserve">,</w:t>
      </w:r>
      <w:r>
        <w:t xml:space="preserve"> </w:t>
      </w:r>
      <w:r>
        <w:rPr>
          <w:rStyle w:val="VerbatimChar"/>
        </w:rPr>
        <w:t xml:space="preserve">MegaPro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Ruslan ZGate</w:t>
      </w:r>
      <w:r>
        <w:t xml:space="preserve">. Перед запуском нужно учитывать предупреждение интерфейса: импорт может полностью перезаписать данные целевой БД.</w:t>
      </w:r>
    </w:p>
    <w:bookmarkEnd w:id="15"/>
    <w:bookmarkStart w:id="16" w:name="дополнительные-разделы"/>
    <w:p>
      <w:pPr>
        <w:pStyle w:val="Heading2"/>
      </w:pPr>
      <w:r>
        <w:t xml:space="preserve">5. Дополнительные разделы</w:t>
      </w:r>
    </w:p>
    <w:bookmarkEnd w:id="16"/>
    <w:bookmarkStart w:id="23" w:name="импорт-записей-из-папки-cdsisis"/>
    <w:p>
      <w:pPr>
        <w:pStyle w:val="Heading2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17" w:name="входные-данные"/>
    <w:p>
      <w:pPr>
        <w:pStyle w:val="Heading3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17"/>
    <w:bookmarkStart w:id="18" w:name="параметры"/>
    <w:p>
      <w:pPr>
        <w:pStyle w:val="Heading3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8"/>
    <w:bookmarkStart w:id="19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9"/>
    <w:bookmarkStart w:id="22" w:name="связанные-разделы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Функции модуля Database</w:t>
        </w:r>
      </w:hyperlink>
    </w:p>
    <w:bookmarkEnd w:id="22"/>
    <w:bookmarkEnd w:id="23"/>
    <w:bookmarkStart w:id="31" w:name="api-модуля-database-для-php-кода"/>
    <w:p>
      <w:pPr>
        <w:pStyle w:val="Heading2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24" w:name="получение-экземпляра-модуля"/>
    <w:p>
      <w:pPr>
        <w:pStyle w:val="Heading3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24"/>
    <w:bookmarkStart w:id="25" w:name="объект-базы-данных"/>
    <w:p>
      <w:pPr>
        <w:pStyle w:val="Heading3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25"/>
    <w:bookmarkStart w:id="26" w:name="практические-рекомендации"/>
    <w:p>
      <w:pPr>
        <w:pStyle w:val="Heading3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3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26"/>
    <w:bookmarkStart w:id="30" w:name="связанные-разделы-1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Управление модулями</w:t>
        </w:r>
      </w:hyperlink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2026-10-03T08:47:43Z</dcterms:created>
  <dcterms:modified xsi:type="dcterms:W3CDTF">2026-10-03T08:47:43Z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