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[I128-2170] Доступность модуля Ini через Ini::getInstance()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d4c8882e133d7a065b8e35689e9bd58877934ae"/>
    <w:p>
      <w:pPr>
        <w:pStyle w:val="Heading1"/>
      </w:pPr>
      <w:r>
        <w:t xml:space="preserve">[I128-2170] Доступность модуля Ini через Ini::getInstance()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Возможность обращения к модулю через UseModule сохранена.</w:t>
      </w:r>
    </w:p>
    <w:p>
      <w:pPr>
        <w:pStyle w:val="BodyText"/>
      </w:pPr>
      <w:r>
        <w:t xml:space="preserve">Цель функции - повысить читаемость кода для IDE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4"/>
    <w:p>
      <w:pPr>
        <w:pStyle w:val="Heading3"/>
      </w:pPr>
      <w:r>
        <w:t xml:space="preserve">1.1. 🔗 Соответствует задача: I128-2174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[I128-2174]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[I128-2170] Доступность модуля Ini через Ini::getInstance()</dc:title>
  <dc:creator/>
  <cp:keywords/>
  <dcterms:created xsi:type="dcterms:W3CDTF">2026-10-02T17:18:47Z</dcterms:created>
  <dcterms:modified xsi:type="dcterms:W3CDTF">2026-10-02T17:18:47Z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