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 хранит проекты Workflow и связывает прикладные типы записей с workflow, схемами интерфейса, правилами идентификации и доступными типами связей записей проекта.</w:t>
      </w:r>
    </w:p>
    <w:bookmarkStart w:id="17" w:name="назначение-workflowproject"/>
    <w:p>
      <w:pPr>
        <w:pStyle w:val="Heading2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bookmarkStart w:id="18" w:name="X7d0afae73644aaef0685c61b729698814f715a2"/>
    <w:p>
      <w:pPr>
        <w:pStyle w:val="Heading2"/>
      </w:pPr>
      <w:r>
        <w:t xml:space="preserve">Повторная ссылка пропущена: Workflow/Modules/WorkflowProject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2026-10-06T22:59:01Z</dcterms:created>
  <dcterms:modified xsi:type="dcterms:W3CDTF">2026-10-06T22:59:01Z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