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[I128-2697] Кнопка клиентского действия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7e66633255600cf5e7271428cac3f8e31670b"/>
    <w:p>
      <w:pPr>
        <w:pStyle w:val="Heading1"/>
      </w:pPr>
      <w:r>
        <w:t xml:space="preserve">[I128-2697] Кнопка клиентского действия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Редактор записи сможет показывать кнопку, которая выполняет клиентский ExtJS handler без сохранения отдельного поля в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объявляет поле с FieldEditor=ClientButton и передает текст, подсказку и handler. Редактор выводит кнопку в форме, handler может заполнить существующие поля формы или выполнить другое локальное действие.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Новый тип поля не влияет на существующие редакторы и не записывает значение в запись. Он используется только при явном FieldEditor=ClientButton.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2697: Кнопка клиентского действия в редакторе записи. Scope: he2;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feature/I128~~2697~~he2~~client~~button~~field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Кнопка клиентского действия в редакторе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modules/he2/FieldTypes/ClientButton.field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+51/-0.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Кнопка клиентского действия в редакторе записи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[I128-2697] Кнопка клиентского действия в редакторе записи</dc:title>
  <dc:creator/>
  <cp:keywords/>
  <dcterms:created xsi:type="dcterms:W3CDTF">2026-10-06T11:22:58Z</dcterms:created>
  <dcterms:modified xsi:type="dcterms:W3CDTF">2026-10-06T11:22:58Z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