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[I128-2490] ЭДД: право просмотра заявки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bc987eb37e9b51cbdca21c5454ee1d6e6933bc"/>
    <w:p>
      <w:pPr>
        <w:pStyle w:val="Heading1"/>
      </w:pPr>
      <w:r>
        <w:t xml:space="preserve">[I128-2490] ЭДД: право просмотра заявки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заявки ЭДД право просмотра для IP добавляется в служебное поле 113 прямой записью из модуля CSpiderEDD. После выделения границы ответственности Security это оставляет часть сценария создания заявки вне общего механизма управления правами.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Создание заявки ЭДД использует общий механизм Security для назначения права просмотра. Для пользователя сценарий не меняется: заявка создается, а доступ к ней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modules/CSpiderEDD/api.php прямое добавление SEC</w:t>
      </w:r>
      <w:r>
        <w:rPr>
          <w:strike/>
        </w:rPr>
        <w:t xml:space="preserve">поля через</w:t>
      </w:r>
      <w:r>
        <w:rPr>
          <w:strike/>
        </w:rPr>
        <w:t xml:space="preserve"> </w:t>
      </w:r>
      <m:oMath>
        <m:r>
          <m:t>r</m:t>
        </m:r>
        <m:r>
          <m:t>a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F</m:t>
        </m:r>
        <m:r>
          <m:t>i</m:t>
        </m:r>
        <m:r>
          <m:t>e</m:t>
        </m:r>
        <m:r>
          <m:t>l</m:t>
        </m:r>
        <m:r>
          <m:t>d</m:t>
        </m:r>
        <m:r>
          <m:t>A</m:t>
        </m:r>
        <m:r>
          <m:t>d</m:t>
        </m:r>
        <m:r>
          <m:t>d</m:t>
        </m:r>
        <m:r>
          <m:t>A</m:t>
        </m:r>
        <m:r>
          <m:rPr>
            <m:sty m:val="p"/>
          </m:rPr>
          <m:t>(</m:t>
        </m:r>
        <m:r>
          <m:t>113</m:t>
        </m:r>
        <m:r>
          <m:rPr>
            <m:sty m:val="p"/>
          </m:rPr>
          <m:t>,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t</m:t>
        </m:r>
        <m:r>
          <m:t>e</m:t>
        </m:r>
        <m:r>
          <m:t>r</m:t>
        </m:r>
        <m:r>
          <m:t>i</m:t>
        </m:r>
        <m:r>
          <m:t>a</m:t>
        </m:r>
        <m:r>
          <m:t>l</m:t>
        </m:r>
        <m:r>
          <m:t>i</m:t>
        </m:r>
        <m:r>
          <m:t>z</m:t>
        </m:r>
        <m:r>
          <m:t>e</m:t>
        </m:r>
        <m:r>
          <m:t>R</m:t>
        </m:r>
        <m:r>
          <m:t>i</m:t>
        </m:r>
        <m:r>
          <m:t>g</m:t>
        </m:r>
        <m:r>
          <m:t>h</m:t>
        </m:r>
        <m:r>
          <m:t>t</m:t>
        </m:r>
        <m:r>
          <m:rPr>
            <m:sty m:val="p"/>
          </m:rPr>
          <m:t>(</m:t>
        </m:r>
      </m:oMath>
      <w:r>
        <w:rPr>
          <w:strike/>
        </w:rPr>
        <w:t xml:space="preserve">ra,</w:t>
      </w:r>
      <w:r>
        <w:rPr>
          <w:strike/>
        </w:rPr>
        <w:t xml:space="preserve"> </w:t>
      </w:r>
      <w:r>
        <w:rPr>
          <w:strike/>
        </w:rPr>
        <w:t xml:space="preserve">‘Ip’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strike/>
        </w:rPr>
        <w:t xml:space="preserve">‘1’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strike/>
        </w:rPr>
        <w:t xml:space="preserve">‘view’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strike/>
        </w:rPr>
        <w:t xml:space="preserve">‘1’</w:t>
      </w:r>
      <w:r>
        <w:rPr>
          <w:strike/>
        </w:rPr>
        <w:t xml:space="preserve">). Это переводит назначение права на API, вынесенный в I128</w:t>
      </w:r>
      <w:r>
        <w:t xml:space="preserve">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[I128-2490] ЭДД: право просмотра заявки назначается вне Security</dc:title>
  <dc:creator/>
  <cp:keywords/>
  <dcterms:created xsi:type="dcterms:W3CDTF">2026-10-06T15:50:53Z</dcterms:created>
  <dcterms:modified xsi:type="dcterms:W3CDTF">2026-10-06T15:50:53Z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