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[I128-2792] Зафиксировать runtime-контракт EventBus, Queue и TraceContext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5d1f44ea6fa0bc37c50c6d6c9a1db26bc69210"/>
    <w:p>
      <w:pPr>
        <w:pStyle w:val="Heading1"/>
      </w:pPr>
      <w:r>
        <w:t xml:space="preserve">[I128-2792] Зафиксировать runtime-контракт EventBus, Queue и TraceContext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23:37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Зафиксировать общий runtime</w:t>
      </w:r>
      <w:r>
        <w:rPr>
          <w:strike/>
        </w:rPr>
        <w:t xml:space="preserve">контракт между системной событийной шиной EventBus, очередью фоновых заданий Queue и сквозной трассировкой TraceContext, чтобы workflow/task</w:t>
      </w:r>
      <w:r>
        <w:t xml:space="preserve">сценарии выполнялись надежно, диагностируемо и без дублирования ответственности между модулями.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В промышленном контуре одно пользовательское действие может изменить запись, выполнить workflow-переход, записать историю 907, опубликовать событие, поставить фоновое задание, отправить уведомление и оставить диагностический след. Эти части должны быть связаны единым контрактом, но каждая должна оставаться у своего системного владельца.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Описать общую модель выполнения операции: пользовательское действие, проверка прав, изменение записи, история 907, публикация события, постановка jobs, доставка внешним каналам, диагностика и восстановление.</w:t>
      </w:r>
    </w:p>
    <w:p>
      <w:pPr>
        <w:numPr>
          <w:ilvl w:val="0"/>
          <w:numId w:val="1002"/>
        </w:numPr>
      </w:pPr>
      <w:r>
        <w:t xml:space="preserve">Зафиксировать границу EventBus: хранит события, schemas, outbox/inbox, subscriptions, delivery attempts, idempotency registry и dead-letter для событий.</w:t>
      </w:r>
    </w:p>
    <w:p>
      <w:pPr>
        <w:numPr>
          <w:ilvl w:val="0"/>
          <w:numId w:val="1002"/>
        </w:numPr>
      </w:pPr>
      <w:r>
        <w:t xml:space="preserve">Зафиксировать границу Queue: хранит задания, очереди, worker state, retry/backoff/timeout, scheduling, progress, job</w:t>
      </w:r>
      <w:r>
        <w:rPr>
          <w:strike/>
        </w:rPr>
        <w:t xml:space="preserve">level idempotency и dead</w:t>
      </w:r>
      <w:r>
        <w:t xml:space="preserve">letter для заданий.</w:t>
      </w:r>
    </w:p>
    <w:p>
      <w:pPr>
        <w:numPr>
          <w:ilvl w:val="0"/>
          <w:numId w:val="1002"/>
        </w:numPr>
      </w:pPr>
      <w:r>
        <w:t xml:space="preserve">Зафиксировать границу TraceContext: создает и распространяет trace id через UI, API, workflow, EventBus, Queue, transport, логи, HealthCheck и TestA evidence.</w:t>
      </w:r>
    </w:p>
    <w:p>
      <w:pPr>
        <w:numPr>
          <w:ilvl w:val="0"/>
          <w:numId w:val="1002"/>
        </w:numPr>
      </w:pPr>
      <w:r>
        <w:t xml:space="preserve">Зафиксировать классы выполнения: critical</w:t>
      </w:r>
      <w:r>
        <w:rPr>
          <w:strike/>
        </w:rPr>
        <w:t xml:space="preserve">state, required</w:t>
      </w:r>
      <w:r>
        <w:t xml:space="preserve">integration, optional-delivery, analytics. Для каждого класса определить, что может блокировать пользовательское действие, что уходит в outbox, что выполняется через Queue и что допускает best effort.</w:t>
      </w:r>
    </w:p>
    <w:p>
      <w:pPr>
        <w:numPr>
          <w:ilvl w:val="0"/>
          <w:numId w:val="1002"/>
        </w:numPr>
      </w:pPr>
      <w:r>
        <w:t xml:space="preserve">Зафиксировать единый формат ссылок между operation, event, job, delivery attempt, log entry и diagnostic report без хранения предметной логики в runtime-модулях.</w:t>
      </w:r>
    </w:p>
    <w:p>
      <w:pPr>
        <w:numPr>
          <w:ilvl w:val="0"/>
          <w:numId w:val="1002"/>
        </w:numPr>
      </w:pPr>
      <w:r>
        <w:t xml:space="preserve">Определить failure model: ошибка сохранения, ошибка публикации outbox, ошибка постановки job, ошибка delivery, повтор, dead-letter, ручной retry и безопасное сообщение пользователю.</w:t>
      </w:r>
    </w:p>
    <w:p>
      <w:pPr>
        <w:numPr>
          <w:ilvl w:val="0"/>
          <w:numId w:val="1002"/>
        </w:numPr>
      </w:pPr>
      <w:r>
        <w:t xml:space="preserve">Определить минимальный набор интерфейсов/DTO и provider</w:t>
      </w:r>
      <w:r>
        <w:t xml:space="preserve">контрактов, которые должны использовать Workflow*, Tasks и другие модули</w:t>
      </w:r>
      <w:r>
        <w:t xml:space="preserve">владельцы.</w:t>
      </w:r>
    </w:p>
    <w:p>
      <w:pPr>
        <w:numPr>
          <w:ilvl w:val="0"/>
          <w:numId w:val="1002"/>
        </w:numPr>
      </w:pPr>
      <w:r>
        <w:t xml:space="preserve">Подготовить сквозной e2e-сценарий первого промышленного контура: действие над записью проходит через workflow, event, queue job, file operation, security decision, log и diagnostic report.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Эта задача не должна превращаться в реализацию всей событийной шины, очереди или трассировки. Она должна зафиксировать общий контракт и проверяемую совместимость.</w:t>
      </w:r>
    </w:p>
    <w:p>
      <w:pPr>
        <w:numPr>
          <w:ilvl w:val="0"/>
          <w:numId w:val="1002"/>
        </w:numPr>
      </w:pPr>
      <w:r>
        <w:t xml:space="preserve">EventBus не должен выполнять job runtime; Queue не должна становиться event log; TraceContext не должен хранить доменную историю или audit.</w:t>
      </w:r>
    </w:p>
    <w:p>
      <w:pPr>
        <w:numPr>
          <w:ilvl w:val="0"/>
          <w:numId w:val="1002"/>
        </w:numPr>
      </w:pPr>
      <w:r>
        <w:t xml:space="preserve">Предметные модули определяют свои события, handlers, payload profiles и degraded policy; системные runtime-модули исполняют общий контракт.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Для разработчика любого модуля понятно, когда публиковать событие, когда ставить job, как передавать trace id и как оформлять idempotency key.</w:t>
      </w:r>
    </w:p>
    <w:p>
      <w:pPr>
        <w:numPr>
          <w:ilvl w:val="0"/>
          <w:numId w:val="1002"/>
        </w:numPr>
      </w:pPr>
      <w:r>
        <w:t xml:space="preserve">Одинаковое действие не дублируется при повторе UI/API/webhook/Queue.</w:t>
      </w:r>
    </w:p>
    <w:p>
      <w:pPr>
        <w:numPr>
          <w:ilvl w:val="0"/>
          <w:numId w:val="1002"/>
        </w:numPr>
      </w:pPr>
      <w:r>
        <w:t xml:space="preserve">Ошибка тяжелой доставки не откатывает уже сохраненную запись, если доставка относится к optional-delivery или analytics.</w:t>
      </w:r>
    </w:p>
    <w:p>
      <w:pPr>
        <w:numPr>
          <w:ilvl w:val="0"/>
          <w:numId w:val="1002"/>
        </w:numPr>
      </w:pPr>
      <w:r>
        <w:t xml:space="preserve">Критичные изменения состояния не считаются завершенными, если не зафиксирован обязательный event/outbox или другой required runtime artifact.</w:t>
      </w:r>
    </w:p>
    <w:p>
      <w:pPr>
        <w:numPr>
          <w:ilvl w:val="0"/>
          <w:numId w:val="1002"/>
        </w:numPr>
      </w:pPr>
      <w:r>
        <w:t xml:space="preserve">По trace id можно собрать безопасную диагностическую картину операции без чтения предметных таблиц вручную.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общий TestA e2e</w:t>
      </w:r>
      <w:r>
        <w:rPr>
          <w:strike/>
        </w:rPr>
        <w:t xml:space="preserve">сценарий, contract tests для EventBus, Queue и TraceContext, а также Help</w:t>
      </w:r>
      <w:r>
        <w:t xml:space="preserve">раздел для разработчиков: классы выполнения, транзакционная граница, idempotency, retry/dead-letter и трассировка.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relates-to-i128-2793"/>
    <w:p>
      <w:pPr>
        <w:pStyle w:val="Heading3"/>
      </w:pPr>
      <w:r>
        <w:t xml:space="preserve">1.1. 🔗 relates to: I128-2793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relates-to-i128-2794"/>
    <w:p>
      <w:pPr>
        <w:pStyle w:val="Heading3"/>
      </w:pPr>
      <w:r>
        <w:t xml:space="preserve">1.2. 🔗 relates to: I128-2794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relates-to-i128-2795"/>
    <w:p>
      <w:pPr>
        <w:pStyle w:val="Heading3"/>
      </w:pPr>
      <w:r>
        <w:t xml:space="preserve">1.3. 🔗 relates to: I128-2795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3/README" TargetMode="External" /><Relationship Type="http://schemas.openxmlformats.org/officeDocument/2006/relationships/hyperlink" Id="rId11" Target="?id=Help/Show&amp;m=Help/GeneralDescription/WhatsNew/I128/TaskInfo/I128-2794/README" TargetMode="External" /><Relationship Type="http://schemas.openxmlformats.org/officeDocument/2006/relationships/hyperlink" Id="rId13" Target="?id=Help/Show&amp;m=Help/GeneralDescription/WhatsNew/I128/TaskInfo/I128-27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3/README" TargetMode="External" /><Relationship Type="http://schemas.openxmlformats.org/officeDocument/2006/relationships/hyperlink" Id="rId11" Target="?id=Help/Show&amp;m=Help/GeneralDescription/WhatsNew/I128/TaskInfo/I128-2794/README" TargetMode="External" /><Relationship Type="http://schemas.openxmlformats.org/officeDocument/2006/relationships/hyperlink" Id="rId13" Target="?id=Help/Show&amp;m=Help/GeneralDescription/WhatsNew/I128/TaskInfo/I128-27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[I128-2792] Зафиксировать runtime-контракт EventBus, Queue и TraceContext</dc:title>
  <dc:creator/>
  <cp:keywords/>
  <dcterms:created xsi:type="dcterms:W3CDTF">2026-10-06T11:19:46Z</dcterms:created>
  <dcterms:modified xsi:type="dcterms:W3CDTF">2026-10-06T11:19:46Z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