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FieldConfiguration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0e859191e1795199d1594a3cad120fc4266973"/>
    <w:p>
      <w:pPr>
        <w:pStyle w:val="Heading1"/>
      </w:pPr>
      <w:r>
        <w:t xml:space="preserve">Руководство программиста FieldConfiguration</w:t>
      </w:r>
    </w:p>
    <w:bookmarkStart w:id="9" w:name="основной-контракт"/>
    <w:p>
      <w:pPr>
        <w:pStyle w:val="Heading2"/>
      </w:pPr>
      <w:r>
        <w:t xml:space="preserve">1. Основной контракт</w:t>
      </w:r>
    </w:p>
    <w:p>
      <w:pPr>
        <w:pStyle w:val="FirstParagraph"/>
      </w:pPr>
      <w:r>
        <w:t xml:space="preserve">Публичные операции модуля реализованы в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содержит системный класс модуля, record-backed DTO</w:t>
      </w:r>
      <w:r>
        <w:t xml:space="preserve"> </w:t>
      </w:r>
      <w:r>
        <w:rPr>
          <w:rStyle w:val="VerbatimChar"/>
        </w:rPr>
        <w:t xml:space="preserve">ObjectDataFieldConfigurationDefinition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ObjectDataFieldConfigurationPack</w:t>
      </w:r>
      <w:r>
        <w:t xml:space="preserve">, hooks сохранения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-описания.</w:t>
      </w:r>
    </w:p>
    <w:p>
      <w:pPr>
        <w:pStyle w:val="BodyText"/>
      </w:pPr>
      <w:r>
        <w:rPr>
          <w:rStyle w:val="VerbatimChar"/>
        </w:rPr>
        <w:t xml:space="preserve">ObjectData</w:t>
      </w:r>
      <w:r>
        <w:t xml:space="preserve">-объекты используют стандартный маршрут вызова: отсутствующий метод объекта передается в управляющий модуль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 а затем в соответствующий</w:t>
      </w:r>
      <w:r>
        <w:t xml:space="preserve"> </w:t>
      </w:r>
      <w:r>
        <w:rPr>
          <w:rStyle w:val="VerbatimChar"/>
        </w:rPr>
        <w:t xml:space="preserve">__call/*.inc</w:t>
      </w:r>
      <w:r>
        <w:t xml:space="preserve">.</w:t>
      </w:r>
    </w:p>
    <w:bookmarkEnd w:id="9"/>
    <w:bookmarkStart w:id="10" w:name="основные-функции"/>
    <w:p>
      <w:pPr>
        <w:pStyle w:val="Heading2"/>
      </w:pPr>
      <w:r>
        <w:t xml:space="preserve">2.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NormalizeFieldDefinition(array $definition)</w:t>
      </w:r>
      <w:r>
        <w:t xml:space="preserve"> </w:t>
      </w:r>
      <w:r>
        <w:t xml:space="preserve">приводит JSON/array описание поля к единому контракту.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NormalizeFieldPack(array $pack)</w:t>
      </w:r>
      <w:r>
        <w:t xml:space="preserve"> </w:t>
      </w:r>
      <w:r>
        <w:t xml:space="preserve">приводит описание набора полей к единому контракту.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ResolveFieldDefinition(array $definitions, array $context)</w:t>
      </w:r>
      <w:r>
        <w:t xml:space="preserve"> </w:t>
      </w:r>
      <w:r>
        <w:t xml:space="preserve">выбирает лучшее описание поля для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owner module, record type, scope и project.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BuildWhereUsedReport(array $definitions, array $consumers)</w:t>
      </w:r>
      <w:r>
        <w:t xml:space="preserve"> </w:t>
      </w:r>
      <w:r>
        <w:t xml:space="preserve">строит безопасную диагностику явных потребителей.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GetSystemDefinitions()</w:t>
      </w:r>
      <w:r>
        <w:t xml:space="preserve"> </w:t>
      </w:r>
      <w:r>
        <w:t xml:space="preserve">читает системный JSON без записи в БД.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HealthCheckDefinition()</w:t>
      </w:r>
      <w:r>
        <w:t xml:space="preserve"> </w:t>
      </w:r>
      <w:r>
        <w:t xml:space="preserve">возвращает описание проверок для будущего HealthCheck provider.</w:t>
      </w:r>
    </w:p>
    <w:bookmarkEnd w:id="10"/>
    <w:bookmarkStart w:id="11" w:name="не-входит-в-модуль"/>
    <w:p>
      <w:pPr>
        <w:pStyle w:val="Heading2"/>
      </w:pPr>
      <w:r>
        <w:t xml:space="preserve">3. Не входит в модуль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не должен:</w:t>
      </w:r>
    </w:p>
    <w:p>
      <w:pPr>
        <w:pStyle w:val="Compact"/>
        <w:numPr>
          <w:ilvl w:val="0"/>
          <w:numId w:val="1002"/>
        </w:numPr>
      </w:pPr>
      <w:r>
        <w:t xml:space="preserve">проверять права пользователя;</w:t>
      </w:r>
    </w:p>
    <w:p>
      <w:pPr>
        <w:pStyle w:val="Compact"/>
        <w:numPr>
          <w:ilvl w:val="0"/>
          <w:numId w:val="1002"/>
        </w:numPr>
      </w:pPr>
      <w:r>
        <w:t xml:space="preserve">выполнять переходы Workflow;</w:t>
      </w:r>
    </w:p>
    <w:p>
      <w:pPr>
        <w:pStyle w:val="Compact"/>
        <w:numPr>
          <w:ilvl w:val="0"/>
          <w:numId w:val="1002"/>
        </w:numPr>
      </w:pPr>
      <w:r>
        <w:t xml:space="preserve">строить страницы списков и карточек;</w:t>
      </w:r>
    </w:p>
    <w:p>
      <w:pPr>
        <w:pStyle w:val="Compact"/>
        <w:numPr>
          <w:ilvl w:val="0"/>
          <w:numId w:val="1002"/>
        </w:numPr>
      </w:pPr>
      <w:r>
        <w:t xml:space="preserve">применять доменную валидацию Tasks;</w:t>
      </w:r>
    </w:p>
    <w:p>
      <w:pPr>
        <w:pStyle w:val="Compact"/>
        <w:numPr>
          <w:ilvl w:val="0"/>
          <w:numId w:val="1002"/>
        </w:numPr>
      </w:pPr>
      <w:r>
        <w:t xml:space="preserve">выполнять FieldHistory diff;</w:t>
      </w:r>
    </w:p>
    <w:p>
      <w:pPr>
        <w:pStyle w:val="Compact"/>
        <w:numPr>
          <w:ilvl w:val="0"/>
          <w:numId w:val="1002"/>
        </w:numPr>
      </w:pPr>
      <w:r>
        <w:t xml:space="preserve">импортировать вложения или запускать фоновые задания.</w:t>
      </w:r>
    </w:p>
    <w:p>
      <w:pPr>
        <w:pStyle w:val="FirstParagraph"/>
      </w:pPr>
      <w:r>
        <w:t xml:space="preserve">Такие действия должны оставаться в owner-модулях и использовать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только как источник field metadata.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FieldConfiguration</dc:title>
  <dc:creator/>
  <cp:keywords/>
  <dcterms:created xsi:type="dcterms:W3CDTF">2026-10-08T01:48:28Z</dcterms:created>
  <dcterms:modified xsi:type="dcterms:W3CDTF">2026-10-08T01:48:28Z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