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Получить термины словаря и форматировать записи по первой ссылке (H)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f6de5bd9e4b04104854f97da30e052b0ff1d8fe"/>
    <w:p>
      <w:pPr>
        <w:pStyle w:val="Heading1"/>
      </w:pPr>
      <w:r>
        <w:t xml:space="preserve">Получить термины словаря и форматировать записи по первой ссылке (H)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H</w:t>
      </w:r>
      <w:r>
        <w:t xml:space="preserve"> </w:t>
      </w:r>
      <w:r>
        <w:t xml:space="preserve">возвращает список терминов словаря в прямом порядке и, при заданном формате, форматирует запись, соответствующую первой ссылке каждого термина.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TERM</w:t>
            </w:r>
          </w:p>
        </w:tc>
        <w:tc>
          <w:tcPr/>
          <w:p>
            <w:pPr>
              <w:pStyle w:val="Compact"/>
            </w:pPr>
            <w:r>
              <w:t xml:space="preserve">Поисковый термин, с которого начинается просмотр словаря.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num_terms</w:t>
            </w:r>
          </w:p>
        </w:tc>
        <w:tc>
          <w:tcPr/>
          <w:p>
            <w:pPr>
              <w:pStyle w:val="Compact"/>
            </w:pPr>
            <w:r>
              <w:t xml:space="preserve">Число возвращаемых терминов. Если задано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, возвращается не более</w:t>
            </w:r>
            <w:r>
              <w:t xml:space="preserve"> </w:t>
            </w:r>
            <w:r>
              <w:rPr>
                <w:rStyle w:val="VerbatimChar"/>
              </w:rPr>
              <w:t xml:space="preserve">MAX_POSTINGS_IN_PACKET</w:t>
            </w:r>
            <w:r>
              <w:t xml:space="preserve"> </w:t>
            </w:r>
            <w:r>
              <w:t xml:space="preserve">терминов.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 для записей, соответствующих первой ссылке каждого термина.</w:t>
            </w:r>
          </w:p>
        </w:tc>
      </w:tr>
    </w:tbl>
    <w:bookmarkEnd w:id="9"/>
    <w:bookmarkStart w:id="10" w:name="варианты-format"/>
    <w:p>
      <w:pPr>
        <w:pStyle w:val="Heading2"/>
      </w:pPr>
      <w:r>
        <w:t xml:space="preserve">2. Варианты</w:t>
      </w:r>
      <w:r>
        <w:t xml:space="preserve"> </w:t>
      </w:r>
      <w:r>
        <w:rPr>
          <w:rStyle w:val="VerbatimChar"/>
        </w:rPr>
        <w:t xml:space="preserve">format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Поведение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Строка формата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встроенный формат.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@имя</w:t>
            </w:r>
          </w:p>
        </w:tc>
        <w:tc>
          <w:tcPr/>
          <w:p>
            <w:pPr>
              <w:pStyle w:val="Compact"/>
            </w:pPr>
            <w:r>
              <w:t xml:space="preserve">Используется файл формата на сервере по 10-му пути базы</w:t>
            </w:r>
            <w:r>
              <w:t xml:space="preserve"> </w:t>
            </w:r>
            <w:r>
              <w:rPr>
                <w:rStyle w:val="VerbatimChar"/>
              </w:rPr>
              <w:t xml:space="preserve">db_name</w:t>
            </w:r>
            <w:r>
              <w:t xml:space="preserve">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@brief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@</w:t>
            </w:r>
          </w:p>
        </w:tc>
        <w:tc>
          <w:tcPr/>
          <w:p>
            <w:pPr>
              <w:pStyle w:val="Compact"/>
            </w:pPr>
            <w:r>
              <w:t xml:space="preserve">Используется оптимизированное форматирование; имя формата определяется видом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*</w:t>
            </w:r>
          </w:p>
        </w:tc>
        <w:tc>
          <w:tcPr/>
          <w:p>
            <w:pPr>
              <w:pStyle w:val="Compact"/>
            </w:pPr>
            <w:r>
              <w:t xml:space="preserve">Возвращается значение поля, соответствующего первой ссылке термина. Например, для ссылки</w:t>
            </w:r>
            <w:r>
              <w:t xml:space="preserve"> </w:t>
            </w:r>
            <w:r>
              <w:rPr>
                <w:rStyle w:val="VerbatimChar"/>
              </w:rPr>
              <w:t xml:space="preserve">1.200.2.3</w:t>
            </w:r>
            <w:r>
              <w:t xml:space="preserve"> </w:t>
            </w:r>
            <w:r>
              <w:t xml:space="preserve">берется второе повторение поля</w:t>
            </w:r>
            <w:r>
              <w:t xml:space="preserve"> </w:t>
            </w:r>
            <w:r>
              <w:rPr>
                <w:rStyle w:val="VerbatimChar"/>
              </w:rPr>
              <w:t xml:space="preserve">200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Пустая строка</w:t>
            </w:r>
          </w:p>
        </w:tc>
        <w:tc>
          <w:tcPr/>
          <w:p>
            <w:pPr>
              <w:pStyle w:val="Compact"/>
            </w:pPr>
            <w:r>
              <w:t xml:space="preserve">Форматирование не выполняется, возвращается только список терминов.</w:t>
            </w:r>
          </w:p>
        </w:tc>
      </w:tr>
    </w:tbl>
    <w:p>
      <w:pPr>
        <w:pStyle w:val="BodyText"/>
      </w:pPr>
      <w:r>
        <w:t xml:space="preserve">Перед форматированием сервер заменяет в формате специальную последовательность</w:t>
      </w:r>
      <w:r>
        <w:t xml:space="preserve"> </w:t>
      </w:r>
      <w:r>
        <w:rPr>
          <w:rStyle w:val="VerbatimChar"/>
        </w:rPr>
        <w:t xml:space="preserve">***</w:t>
      </w:r>
      <w:r>
        <w:t xml:space="preserve"> </w:t>
      </w:r>
      <w:r>
        <w:t xml:space="preserve">на метку поля из первой ссылки термина. Например, для ссылки</w:t>
      </w:r>
      <w:r>
        <w:t xml:space="preserve"> </w:t>
      </w:r>
      <w:r>
        <w:rPr>
          <w:rStyle w:val="VerbatimChar"/>
        </w:rPr>
        <w:t xml:space="preserve">1.200.1.1</w:t>
      </w:r>
      <w:r>
        <w:t xml:space="preserve"> </w:t>
      </w:r>
      <w:r>
        <w:t xml:space="preserve">формат</w:t>
      </w:r>
      <w:r>
        <w:t xml:space="preserve"> </w:t>
      </w:r>
      <w:r>
        <w:rPr>
          <w:rStyle w:val="VerbatimChar"/>
        </w:rPr>
        <w:t xml:space="preserve">v***</w:t>
      </w:r>
      <w:r>
        <w:t xml:space="preserve"> </w:t>
      </w:r>
      <w:r>
        <w:t xml:space="preserve">выполняется как</w:t>
      </w:r>
      <w:r>
        <w:t xml:space="preserve"> </w:t>
      </w:r>
      <w:r>
        <w:rPr>
          <w:rStyle w:val="VerbatimChar"/>
        </w:rPr>
        <w:t xml:space="preserve">v200</w:t>
      </w:r>
      <w:r>
        <w:t xml:space="preserve">.</w:t>
      </w:r>
    </w:p>
    <w:bookmarkEnd w:id="10"/>
    <w:bookmarkStart w:id="11" w:name="возврат"/>
    <w:p>
      <w:pPr>
        <w:pStyle w:val="Heading2"/>
      </w:pPr>
      <w:r>
        <w:t xml:space="preserve">3. Возврат</w:t>
      </w:r>
    </w:p>
    <w:p>
      <w:pPr>
        <w:pStyle w:val="FirstParagraph"/>
      </w:pPr>
      <w:r>
        <w:t xml:space="preserve">Первая строка содержит код возврата:</w:t>
      </w:r>
      <w:r>
        <w:t xml:space="preserve"> </w:t>
      </w:r>
      <w:r>
        <w:rPr>
          <w:rStyle w:val="VerbatimChar"/>
        </w:rPr>
        <w:t xml:space="preserve">ZERO</w:t>
      </w:r>
      <w:r>
        <w:t xml:space="preserve">, если термин найден, либо отрицательный код ошибки.</w:t>
      </w:r>
    </w:p>
    <w:p>
      <w:pPr>
        <w:pStyle w:val="BodyText"/>
      </w:pPr>
      <w:r>
        <w:t xml:space="preserve">Далее возвращаются строки одного из видов:</w:t>
      </w:r>
    </w:p>
    <w:p>
      <w:pPr>
        <w:pStyle w:val="SourceCode"/>
      </w:pPr>
      <w:r>
        <w:rPr>
          <w:rStyle w:val="VerbatimChar"/>
        </w:rPr>
        <w:t xml:space="preserve">ЧИСЛО_ССЫЛОК#30</w:t>
      </w:r>
      <w:r>
        <w:br/>
      </w:r>
      <w:r>
        <w:rPr>
          <w:rStyle w:val="VerbatimChar"/>
        </w:rPr>
        <w:t xml:space="preserve">ССЫЛКА#30ТЕРМИН#30РЕЗУЛЬТАТ_ФОРМАТИРОВАНИЯ</w:t>
      </w:r>
    </w:p>
    <w:p>
      <w:pPr>
        <w:pStyle w:val="FirstParagraph"/>
      </w:pPr>
      <w:r>
        <w:t xml:space="preserve">или, если задан пустой формат:</w:t>
      </w:r>
    </w:p>
    <w:p>
      <w:pPr>
        <w:pStyle w:val="SourceCode"/>
      </w:pPr>
      <w:r>
        <w:rPr>
          <w:rStyle w:val="VerbatimChar"/>
        </w:rPr>
        <w:t xml:space="preserve">ТЕРМИН_СЛОВАРЯ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РЕЗУЛЬТАТ_ФОРМАТИРОВАНИЯ</w:t>
      </w:r>
      <w:r>
        <w:t xml:space="preserve"> </w:t>
      </w:r>
      <w:r>
        <w:t xml:space="preserve">разделители</w:t>
      </w:r>
      <w:r>
        <w:t xml:space="preserve"> </w:t>
      </w:r>
      <w:r>
        <w:rPr>
          <w:rStyle w:val="VerbatimChar"/>
        </w:rPr>
        <w:t xml:space="preserve">#10#13</w:t>
      </w:r>
      <w:r>
        <w:t xml:space="preserve"> </w:t>
      </w:r>
      <w:r>
        <w:t xml:space="preserve">заменяются на</w:t>
      </w:r>
      <w:r>
        <w:t xml:space="preserve"> </w:t>
      </w:r>
      <w:r>
        <w:rPr>
          <w:rStyle w:val="VerbatimChar"/>
        </w:rPr>
        <w:t xml:space="preserve">#30#31</w:t>
      </w:r>
      <w:r>
        <w:t xml:space="preserve">.</w:t>
      </w:r>
    </w:p>
    <w:bookmarkEnd w:id="11"/>
    <w:bookmarkStart w:id="12" w:name="пример"/>
    <w:p>
      <w:pPr>
        <w:pStyle w:val="Heading2"/>
      </w:pPr>
      <w:r>
        <w:t xml:space="preserve">4. Пример</w:t>
      </w:r>
    </w:p>
    <w:p>
      <w:pPr>
        <w:pStyle w:val="FirstParagraph"/>
      </w:pPr>
      <w:r>
        <w:t xml:space="preserve">При запросе терминов от</w:t>
      </w:r>
      <w:r>
        <w:t xml:space="preserve"> </w:t>
      </w:r>
      <w:r>
        <w:rPr>
          <w:rStyle w:val="VerbatimChar"/>
        </w:rPr>
        <w:t xml:space="preserve">K=</w:t>
      </w:r>
      <w:r>
        <w:t xml:space="preserve"> </w:t>
      </w:r>
      <w:r>
        <w:t xml:space="preserve">с форматом</w:t>
      </w:r>
      <w:r>
        <w:t xml:space="preserve"> </w:t>
      </w:r>
      <w:r>
        <w:rPr>
          <w:rStyle w:val="VerbatimChar"/>
        </w:rPr>
        <w:t xml:space="preserve">@brief</w:t>
      </w:r>
      <w:r>
        <w:t xml:space="preserve"> </w:t>
      </w:r>
      <w:r>
        <w:t xml:space="preserve">ответ может содержать строки вида:</w:t>
      </w:r>
    </w:p>
    <w:p>
      <w:pPr>
        <w:pStyle w:val="SourceCode"/>
      </w:pPr>
      <w:r>
        <w:rPr>
          <w:rStyle w:val="VerbatimChar"/>
        </w:rPr>
        <w:t xml:space="preserve">-202</w:t>
      </w:r>
      <w:r>
        <w:br/>
      </w:r>
      <w:r>
        <w:rPr>
          <w:rStyle w:val="VerbatimChar"/>
        </w:rPr>
        <w:t xml:space="preserve">1#19#1200#1#3#30K=ACTING#30Bryant R.M. Cyclic groups acting on Lie algebras [Text], 1994. - 5,6 p.</w:t>
      </w:r>
      <w:r>
        <w:br/>
      </w:r>
      <w:r>
        <w:rPr>
          <w:rStyle w:val="VerbatimChar"/>
        </w:rPr>
        <w:t xml:space="preserve">1#97#1454#1#5#30K=ACTIVITY#30Белки [Текст] : Сб. Т. 1 : Химия белковых веществ, 1956. - 395 с.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Получить термины словаря и форматировать записи по первой ссылке (H)</dc:title>
  <dc:creator/>
  <cp:keywords/>
  <dcterms:created xsi:type="dcterms:W3CDTF">2026-10-08T19:32:03Z</dcterms:created>
  <dcterms:modified xsi:type="dcterms:W3CDTF">2026-10-08T19:32:03Z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