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15f17b664d6c5473043c45e04cbf39a9d88e76"/>
    <w:p>
      <w:pPr>
        <w:pStyle w:val="Heading1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  <w:r>
        <w:t xml:space="preserve"> </w:t>
      </w:r>
      <w:r>
        <w:t xml:space="preserve">- 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  <w:r>
        <w:t xml:space="preserve"> </w:t>
      </w:r>
      <w:r>
        <w:t xml:space="preserve">- Добавлена возможность настройки дополнительных колонок и пользовательских кнопок для списка заявок.</w:t>
      </w:r>
      <w:r>
        <w:t xml:space="preserve"> </w:t>
      </w:r>
      <w:r>
        <w:t xml:space="preserve">- 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1"/>
    <w:p>
      <w:pPr>
        <w:pStyle w:val="Heading3"/>
      </w:pPr>
      <w:r>
        <w:t xml:space="preserve">1.1. 🔗 Соответствует задача: I128-2231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[I128-2231]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[I128-2224] Новый раздел настроек АРМ Книговыдача “Настройка подсистемы заявок на продление срока пользования изданием”</dc:title>
  <dc:creator/>
  <cp:keywords/>
  <dcterms:created xsi:type="dcterms:W3CDTF">2026-10-10T02:52:05Z</dcterms:created>
  <dcterms:modified xsi:type="dcterms:W3CDTF">2026-10-10T02:52:05Z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