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[I128-1342] Чекбоксы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2-чекбоксы-в-результатах-поиска"/>
    <w:p>
      <w:pPr>
        <w:pStyle w:val="Heading1"/>
      </w:pPr>
      <w:r>
        <w:t xml:space="preserve">[I128-1342] Чекбоксы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 </w:t>
      </w:r>
      <w:r>
        <w:t xml:space="preserve">- отметка записей флажками 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Help-раздел о чекбоксах выбора записей на странице результатов поиска. Раздел объясняет, как отметить записи флажками, какие групповые действия используют выбранный набор и чем отличаются варианты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80"/>
    <w:p>
      <w:pPr>
        <w:pStyle w:val="Heading3"/>
      </w:pPr>
      <w:r>
        <w:t xml:space="preserve">1.1. 🔗 Соответствует задача: I128-1180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[I128-1180]</w:t>
        </w:r>
      </w:hyperlink>
      <w:r>
        <w:t xml:space="preserve"> </w:t>
      </w:r>
      <w:r>
        <w:t xml:space="preserve">Чекбоксы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[I128-1342] Чекбоксы в результатах поиска</dc:title>
  <dc:creator/>
  <cp:keywords/>
  <dcterms:created xsi:type="dcterms:W3CDTF">2026-10-10T04:04:59Z</dcterms:created>
  <dcterms:modified xsi:type="dcterms:W3CDTF">2026-10-10T04:04:59Z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