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WSS-описания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ss-описания-полей"/>
    <w:p>
      <w:pPr>
        <w:pStyle w:val="Heading1"/>
      </w:pPr>
      <w:r>
        <w:t xml:space="preserve">WSS-описания полей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загружает WSS/WS-описания полей, преобразует их в структуру JSON и кэширует результат.</w:t>
      </w:r>
    </w:p>
    <w:bookmarkStart w:id="9" w:name="назначение-wss"/>
    <w:p>
      <w:pPr>
        <w:pStyle w:val="Heading2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WSS-описания полей</dc:title>
  <dc:creator/>
  <cp:keywords/>
  <dcterms:created xsi:type="dcterms:W3CDTF">2026-10-09T10:47:01Z</dcterms:created>
  <dcterms:modified xsi:type="dcterms:W3CDTF">2026-10-09T10:47:01Z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