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[I128-2490] ЭДД: право просмотра заявки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bc987eb37e9b51cbdca21c5454ee1d6e6933bc"/>
    <w:p>
      <w:pPr>
        <w:pStyle w:val="Heading1"/>
      </w:pPr>
      <w:r>
        <w:t xml:space="preserve">[I128-2490] ЭДД: право просмотра заявки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заявки ЭДД право просмотра для IP добавляется в служебное поле 113 прямой записью из модуля CSpiderEDD. После выделения границы ответственности Security это оставляет часть сценария создания заявки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заявки ЭДД использует общий механизм Security для назначения права просмотра. Для пользователя сценарий не меняется: заявка создается, а доступ к ней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modules/CSpiderEDD/api.php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a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ra,</w:t>
      </w:r>
      <w:r>
        <w:rPr>
          <w:strike/>
        </w:rPr>
        <w:t xml:space="preserve"> </w:t>
      </w:r>
      <w:r>
        <w:rPr>
          <w:strike/>
        </w:rPr>
        <w:t xml:space="preserve">‘Ip’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‘view’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[I128-2490] ЭДД: право просмотра заявки назначается вне Security</dc:title>
  <dc:creator/>
  <cp:keywords/>
  <dcterms:created xsi:type="dcterms:W3CDTF">2026-10-08T20:06:51Z</dcterms:created>
  <dcterms:modified xsi:type="dcterms:W3CDTF">2026-10-08T20:06:51Z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