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[I128-1907] Исключена настраиваемая функциональность конвертирования поисковых запросов в полнотекстовые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221cd015b0f1a10bfe029689d1e0665d3395d"/>
    <w:p>
      <w:pPr>
        <w:pStyle w:val="Heading1"/>
      </w:pPr>
      <w:r>
        <w:t xml:space="preserve">[I128-1907] Исключена настраиваемая функциональность конвертирования поисковых запросов в полнотекстовые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07:52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8"/>
    <w:p>
      <w:pPr>
        <w:pStyle w:val="Heading3"/>
      </w:pPr>
      <w:r>
        <w:t xml:space="preserve">1.1. 🔗 Соответствует задача: I128-1908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[I128-1908]</w:t>
        </w:r>
      </w:hyperlink>
      <w:r>
        <w:t xml:space="preserve"> </w:t>
      </w:r>
      <w:r>
        <w:t xml:space="preserve">Исключена настраиваемая функциональность конвертирования поисковых запросов в полнотекстовые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[I128-1907] Исключена настраиваемая функциональность конвертирования поисковых запросов в полнотекстовые</dc:title>
  <dc:creator/>
  <cp:keywords/>
  <dcterms:created xsi:type="dcterms:W3CDTF">2026-10-09T02:12:41Z</dcterms:created>
  <dcterms:modified xsi:type="dcterms:W3CDTF">2026-10-09T02:12:41Z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