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FieldConfiguration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859191e1795199d1594a3cad120fc4266973"/>
    <w:p>
      <w:pPr>
        <w:pStyle w:val="Heading1"/>
      </w:pPr>
      <w:r>
        <w:t xml:space="preserve">Руководство программиста FieldConfiguration</w:t>
      </w:r>
    </w:p>
    <w:bookmarkStart w:id="9" w:name="основной-контракт"/>
    <w:p>
      <w:pPr>
        <w:pStyle w:val="Heading2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10"/>
    <w:bookmarkStart w:id="11" w:name="не-входит-в-модуль"/>
    <w:p>
      <w:pPr>
        <w:pStyle w:val="Heading2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2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2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2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2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2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2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FieldConfiguration</dc:title>
  <dc:creator/>
  <cp:keywords/>
  <dcterms:created xsi:type="dcterms:W3CDTF">2026-10-09T10:54:01Z</dcterms:created>
  <dcterms:modified xsi:type="dcterms:W3CDTF">2026-10-09T10:54:01Z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