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[I128-2837] AITool policy и safe execution</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6" w:name="i128-2837-aitool-policy-и-safe-execution"/>
    <w:p>
      <w:pPr>
        <w:pStyle w:val="Heading1"/>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01"/>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04"/>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25"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3"/>
    <w:p>
      <w:pPr>
        <w:pStyle w:val="Heading3"/>
      </w:pPr>
      <w:r>
        <w:t xml:space="preserve">1.8. 🔗 blocks: I128-2833</w:t>
      </w:r>
    </w:p>
    <w:p>
      <w:pPr>
        <w:pStyle w:val="BlockText"/>
      </w:pPr>
      <w:hyperlink r:id="rId23">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[I128-2837] AITool policy и safe execution</dc:title>
  <dc:creator/>
  <cp:keywords/>
  <dcterms:created xsi:type="dcterms:W3CDTF">2026-10-09T11:52:37Z</dcterms:created>
  <dcterms:modified xsi:type="dcterms:W3CDTF">2026-10-09T11:52:37Z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