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[I128-2790] Расширить Workflow* для промышленного контура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2e66f398b6dd5c85ababaa0d372db773dedd50"/>
    <w:p>
      <w:pPr>
        <w:pStyle w:val="Heading1"/>
      </w:pPr>
      <w:r>
        <w:t xml:space="preserve">[I128-2790] Расширить Workflow* для промышленного контура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универсальное семейство модулей Workflow* так, чтобы оно могло использоваться как промышленный механизм управления жизненным циклом любых record-based объектов ИРБИС 128, включая будущий модуль задач, но без знания их предметной структуры.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Workflow* должен быть системным слоем: проект workflow, сам workflow, статусы, переходы, условия, post</w:t>
      </w:r>
      <w:r>
        <w:rPr>
          <w:strike/>
        </w:rPr>
        <w:t xml:space="preserve">functions, история переходов, черновики и публикация конфигурации должны работать одинаково для разных типов записей. Предметные модули поставляют только свои типы записей, настройки, post</w:t>
      </w:r>
      <w:r>
        <w:t xml:space="preserve">functions, форматы, тексты и доменные правила.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Зафиксировать модель WorkflowProject: проект, поддерживаемые типы записей, выбранный workflow для типа записи, начальный статус для legacy</w:t>
      </w:r>
      <w:r>
        <w:rPr>
          <w:strike/>
        </w:rPr>
        <w:t xml:space="preserve">записей без workflow</w:t>
      </w:r>
      <w:r>
        <w:t xml:space="preserve">ссылки, системные и пользовательские определения.</w:t>
      </w:r>
    </w:p>
    <w:p>
      <w:pPr>
        <w:numPr>
          <w:ilvl w:val="0"/>
          <w:numId w:val="1002"/>
        </w:numPr>
      </w:pPr>
      <w:r>
        <w:t xml:space="preserve">Зафиксировать модель Workflow: набор статусов и переходов, версия конфигурации, draft/publish/rollback, запрет редактирования опубликованной системной конфигурации обычным администратором.</w:t>
      </w:r>
    </w:p>
    <w:p>
      <w:pPr>
        <w:numPr>
          <w:ilvl w:val="0"/>
          <w:numId w:val="1002"/>
        </w:numPr>
      </w:pPr>
      <w:r>
        <w:t xml:space="preserve">Зафиксировать модель WorkflowStatus: стабильный ключ, русское название, статус для API, цвет/визуальное состояние, координаты на карте workflow, правила удаления и восстановления.</w:t>
      </w:r>
    </w:p>
    <w:p>
      <w:pPr>
        <w:numPr>
          <w:ilvl w:val="0"/>
          <w:numId w:val="1002"/>
        </w:numPr>
      </w:pPr>
      <w:r>
        <w:t xml:space="preserve">Зафиксировать модель WorkflowTransition: исходный статус, целевой статус, название действия на кнопке, условие доступности, экран ввода, post-functions, режим выполнения и диагностируемый результат.</w:t>
      </w:r>
    </w:p>
    <w:p>
      <w:pPr>
        <w:numPr>
          <w:ilvl w:val="0"/>
          <w:numId w:val="1002"/>
        </w:numPr>
      </w:pPr>
      <w:r>
        <w:t xml:space="preserve">Реализовать единый способ определения workflow</w:t>
      </w:r>
      <w:r>
        <w:rPr>
          <w:strike/>
        </w:rPr>
        <w:t xml:space="preserve">состояния записи через LINK</w:t>
      </w:r>
      <w:r>
        <w:t xml:space="preserve">поле 113: ссылка на проект workflow и текущий статус в этом проекте. Одна запись должна иметь возможность участвовать в нескольких workflow одновременно.</w:t>
      </w:r>
    </w:p>
    <w:p>
      <w:pPr>
        <w:numPr>
          <w:ilvl w:val="0"/>
          <w:numId w:val="1002"/>
        </w:numPr>
      </w:pPr>
      <w:r>
        <w:t xml:space="preserve">Реализовать dry</w:t>
      </w:r>
      <w:r>
        <w:rPr>
          <w:strike/>
        </w:rPr>
        <w:t xml:space="preserve">run перехода: до выполнения пользователь или администратор должен видеть, будет ли переход доступен, какой статус получится, какие поля изменятся, какая запись истории 907 будет добавлена и какие post</w:t>
      </w:r>
      <w:r>
        <w:t xml:space="preserve">functions будут вызваны.</w:t>
      </w:r>
    </w:p>
    <w:p>
      <w:pPr>
        <w:numPr>
          <w:ilvl w:val="0"/>
          <w:numId w:val="1002"/>
        </w:numPr>
      </w:pPr>
      <w:r>
        <w:t xml:space="preserve">Реализовать explainability доступности действия: если переход недоступен, система должна показать безопасную и понятную причину без раскрытия скрытых данных.</w:t>
      </w:r>
    </w:p>
    <w:p>
      <w:pPr>
        <w:numPr>
          <w:ilvl w:val="0"/>
          <w:numId w:val="1002"/>
        </w:numPr>
      </w:pPr>
      <w:r>
        <w:t xml:space="preserve">Реализовать where-used и impact analysis для статусов, переходов, workflow и проектов, чтобы нельзя было опасно удалить используемую конфигурацию без диагностики последствий.</w:t>
      </w:r>
    </w:p>
    <w:p>
      <w:pPr>
        <w:numPr>
          <w:ilvl w:val="0"/>
          <w:numId w:val="1002"/>
        </w:numPr>
      </w:pPr>
      <w:r>
        <w:t xml:space="preserve">Реализовать системные JSON definitions для поставляемых модулем workflow-проектов, workflow, статусов и переходов: setup/import должен добавлять новые системные записи, обновлять измененные и убирать записи, удаленные из developer config.</w:t>
      </w:r>
    </w:p>
    <w:p>
      <w:pPr>
        <w:numPr>
          <w:ilvl w:val="0"/>
          <w:numId w:val="1002"/>
        </w:numPr>
      </w:pPr>
      <w:r>
        <w:t xml:space="preserve">Реализовать общий контракт post</w:t>
      </w:r>
      <w:r>
        <w:rPr>
          <w:strike/>
        </w:rPr>
        <w:t xml:space="preserve">functions: GBL</w:t>
      </w:r>
      <w:r>
        <w:t xml:space="preserve">постфункции выбираются из разрешенного меню, command</w:t>
      </w:r>
      <w:r>
        <w:t xml:space="preserve">постфункции вызываются через специальные __call/Workflow</w:t>
      </w:r>
      <w:r>
        <w:t xml:space="preserve">функции модуля-владельца с типизированным контекстом и стандартным результатом.</w:t>
      </w:r>
    </w:p>
    <w:p>
      <w:pPr>
        <w:numPr>
          <w:ilvl w:val="0"/>
          <w:numId w:val="1002"/>
        </w:numPr>
      </w:pPr>
      <w:r>
        <w:t xml:space="preserve">Историю успешных переходов писать в стандартное поле 907, а не через частные действия отдельных модулей.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Workflow* не должен содержать частную логику Tasks, VirtualRef или других предметных модулей.</w:t>
      </w:r>
    </w:p>
    <w:p>
      <w:pPr>
        <w:numPr>
          <w:ilvl w:val="0"/>
          <w:numId w:val="1002"/>
        </w:numPr>
      </w:pPr>
      <w:r>
        <w:t xml:space="preserve">Workflow* не должен знать физические номера полей предметной записи, кроме общесистемного LINK 113 и стандартной истории 907.</w:t>
      </w:r>
    </w:p>
    <w:p>
      <w:pPr>
        <w:numPr>
          <w:ilvl w:val="0"/>
          <w:numId w:val="1002"/>
        </w:numPr>
      </w:pPr>
      <w:r>
        <w:t xml:space="preserve">Проверка прав должна выполняться через общий Security-контракт, а не через частные условия внутри Workflow*.</w:t>
      </w:r>
    </w:p>
    <w:p>
      <w:pPr>
        <w:numPr>
          <w:ilvl w:val="0"/>
          <w:numId w:val="1002"/>
        </w:numPr>
      </w:pPr>
      <w:r>
        <w:t xml:space="preserve">Тяжелые, отложенные и повторяемые эффекты должны выноситься в Queue/EventBus через post-functions или обработчики владельцев, а не выполняться неявно внутри ядра workflow.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Один и тот же workflow-механизм применим к разным типам записей без изменения кода Workflow*.</w:t>
      </w:r>
    </w:p>
    <w:p>
      <w:pPr>
        <w:numPr>
          <w:ilvl w:val="0"/>
          <w:numId w:val="1002"/>
        </w:numPr>
      </w:pPr>
      <w:r>
        <w:t xml:space="preserve">Переход можно выполнить, предварительно проверить через dry-run и объяснить пользователю причину недоступности.</w:t>
      </w:r>
    </w:p>
    <w:p>
      <w:pPr>
        <w:numPr>
          <w:ilvl w:val="0"/>
          <w:numId w:val="1002"/>
        </w:numPr>
      </w:pPr>
      <w:r>
        <w:t xml:space="preserve">Изменение workflow-конфигурации проходит через черновик, публикацию и возможность отката.</w:t>
      </w:r>
    </w:p>
    <w:p>
      <w:pPr>
        <w:numPr>
          <w:ilvl w:val="0"/>
          <w:numId w:val="1002"/>
        </w:numPr>
      </w:pPr>
      <w:r>
        <w:t xml:space="preserve">Удаление используемого статуса, перехода или workflow блокируется или требует явного безопасного сценария с понятным impact report.</w:t>
      </w:r>
    </w:p>
    <w:p>
      <w:pPr>
        <w:numPr>
          <w:ilvl w:val="0"/>
          <w:numId w:val="1002"/>
        </w:numPr>
      </w:pPr>
      <w:r>
        <w:t xml:space="preserve">Системные definitions воспроизводимо синхронизируются при setup/update и защищены от штатного редактирования, кроме специального режима разработчика.</w:t>
      </w:r>
    </w:p>
    <w:p>
      <w:pPr>
        <w:numPr>
          <w:ilvl w:val="0"/>
          <w:numId w:val="1002"/>
        </w:numPr>
      </w:pPr>
      <w:r>
        <w:t xml:space="preserve">В записи после перехода корректно обновляется LINK 113 и появляется человекочитаемая история в поле 907.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системных definitions, dry</w:t>
      </w:r>
      <w:r>
        <w:t xml:space="preserve">run, выполнения перехода, недоступного перехода, записи 907, rollback конфигурации и защиты системных записей. В Help должны быть описаны модель workflow</w:t>
      </w:r>
      <w:r>
        <w:rPr>
          <w:strike/>
        </w:rPr>
        <w:t xml:space="preserve">проекта, статусы, переходы, post</w:t>
      </w:r>
      <w:r>
        <w:t xml:space="preserve">functions, публикация конфигурации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Добавлен explainable runtime для переходов Workflow: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checks/reasons, status diff, требуемый экран и план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для проверки перехода на копии записи без сохранения и без выполнения post-functions.</w:t>
      </w:r>
    </w:p>
    <w:p>
      <w:pPr>
        <w:numPr>
          <w:ilvl w:val="0"/>
          <w:numId w:val="1007"/>
        </w:numPr>
      </w:pPr>
      <w:r>
        <w:t xml:space="preserve">Добавлен</w:t>
      </w:r>
      <w:r>
        <w:t xml:space="preserve"> </w:t>
      </w: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для базового where</w:t>
      </w:r>
      <w:r>
        <w:rPr>
          <w:strike/>
        </w:rPr>
        <w:t xml:space="preserve">used по проектам, статусам, переходам, экранам, схемам, фильтрам, представлениям и материализованным workflow</w:t>
      </w:r>
      <w:r>
        <w:t xml:space="preserve">состояниям.</w:t>
      </w:r>
    </w:p>
    <w:p>
      <w:pPr>
        <w:numPr>
          <w:ilvl w:val="0"/>
          <w:numId w:val="1007"/>
        </w:numPr>
      </w:pPr>
      <w:r>
        <w:t xml:space="preserve">Добавлены self-check методы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расширены административными описаниями;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получил цвет для карты/UI со стандартным fallback по API-статусу.</w:t>
      </w:r>
    </w:p>
    <w:p>
      <w:pPr>
        <w:numPr>
          <w:ilvl w:val="0"/>
          <w:numId w:val="1007"/>
        </w:numPr>
      </w:pPr>
      <w:r>
        <w:t xml:space="preserve">Импорт/синхронизация system JSON сохраняют description/color для проектов, статусов и переходов.</w:t>
      </w:r>
    </w:p>
    <w:p>
      <w:pPr>
        <w:numPr>
          <w:ilvl w:val="0"/>
          <w:numId w:val="1007"/>
        </w:numPr>
      </w:pPr>
      <w:r>
        <w:t xml:space="preserve">Обновлены Help</w:t>
      </w:r>
      <w:r>
        <w:rPr>
          <w:strike/>
        </w:rPr>
        <w:t xml:space="preserve">разделы Workflow и добавлены TestA safe</w:t>
      </w:r>
      <w:r>
        <w:t xml:space="preserve">read сценарии для четырех Workflow*-модулей.</w:t>
      </w:r>
    </w:p>
    <w:p>
      <w:pPr>
        <w:pStyle w:val="Compact"/>
        <w:numPr>
          <w:ilvl w:val="1"/>
          <w:numId w:val="1008"/>
        </w:numPr>
      </w:pPr>
      <w:r>
        <w:t xml:space="preserve">Не входит в этот PR</w:t>
      </w:r>
    </w:p>
    <w:p>
      <w:pPr>
        <w:numPr>
          <w:ilvl w:val="0"/>
          <w:numId w:val="1007"/>
        </w:numPr>
      </w:pPr>
      <w:r>
        <w:t xml:space="preserve">Перевод from/to статусов переходов с числовых кодов на ключи статусов: это требует отдельной миграции данных.</w:t>
      </w:r>
    </w:p>
    <w:p>
      <w:pPr>
        <w:numPr>
          <w:ilvl w:val="0"/>
          <w:numId w:val="1007"/>
        </w:numPr>
      </w:pPr>
      <w:r>
        <w:t xml:space="preserve">Public ws renderer, WorkflowScreen drafts, WorkflowView pages и materialized WorkflowFilter: эти части остаются в отдельных задачах</w:t>
      </w:r>
      <w:r>
        <w:t xml:space="preserve"> </w:t>
      </w:r>
      <w:r>
        <w:rPr>
          <w:rStyle w:val="VerbatimChar"/>
        </w:rPr>
        <w:t xml:space="preserve">I128~~2791</w:t>
      </w:r>
      <w:r>
        <w:t xml:space="preserve">/</w:t>
      </w:r>
      <w:r>
        <w:rPr>
          <w:rStyle w:val="VerbatimChar"/>
        </w:rPr>
        <w:t xml:space="preserve">I128~~2809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Draft/publish/rollback lifecycle проекта в полном объеме.</w:t>
      </w:r>
    </w:p>
    <w:p>
      <w:pPr>
        <w:pStyle w:val="Compact"/>
        <w:numPr>
          <w:ilvl w:val="1"/>
          <w:numId w:val="1009"/>
        </w:numPr>
      </w:pPr>
      <w:r>
        <w:t xml:space="preserve">Проверка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по измененным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: ok.</w:t>
      </w:r>
    </w:p>
    <w:p>
      <w:pPr>
        <w:numPr>
          <w:ilvl w:val="0"/>
          <w:numId w:val="1007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numPr>
          <w:ilvl w:val="0"/>
          <w:numId w:val="1007"/>
        </w:numPr>
      </w:pPr>
      <w:r>
        <w:t xml:space="preserve">TestA explicit safe-read:</w:t>
      </w:r>
      <w:r>
        <w:t xml:space="preserve"> </w:t>
      </w:r>
      <w:r>
        <w:rPr>
          <w:rStyle w:val="VerbatimChar"/>
        </w:rPr>
        <w:t xml:space="preserve">Workflow 7/7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4/4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4/4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TestA structural safe-read:</w:t>
      </w:r>
      <w:r>
        <w:t xml:space="preserve"> </w:t>
      </w:r>
      <w:r>
        <w:rPr>
          <w:rStyle w:val="VerbatimChar"/>
        </w:rPr>
        <w:t xml:space="preserve">Workflow 51/51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 13/13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 6/6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 6/6</w:t>
      </w:r>
      <w:r>
        <w:t xml:space="preserve">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0"/>
    <w:p>
      <w:pPr>
        <w:pStyle w:val="Heading3"/>
      </w:pPr>
      <w:r>
        <w:t xml:space="preserve">1.2. 🔗 blocks: I128-2800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1"/>
    <w:p>
      <w:pPr>
        <w:pStyle w:val="Heading3"/>
      </w:pPr>
      <w:r>
        <w:t xml:space="preserve">1.3. 🔗 blocks: I128-2801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3"/>
    <w:p>
      <w:pPr>
        <w:pStyle w:val="Heading3"/>
      </w:pPr>
      <w:r>
        <w:t xml:space="preserve">1.4. 🔗 blocks: I128-2803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4"/>
    <w:p>
      <w:pPr>
        <w:pStyle w:val="Heading3"/>
      </w:pPr>
      <w:r>
        <w:t xml:space="preserve">1.5. 🔗 blocks: I128-2804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5"/>
    <w:p>
      <w:pPr>
        <w:pStyle w:val="Heading3"/>
      </w:pPr>
      <w:r>
        <w:t xml:space="preserve">1.6. 🔗 blocks: I128-2805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9"/>
    <w:p>
      <w:pPr>
        <w:pStyle w:val="Heading3"/>
      </w:pPr>
      <w:r>
        <w:t xml:space="preserve">1.7. 🔗 blocks: I128-2809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0"/>
    <w:p>
      <w:pPr>
        <w:pStyle w:val="Heading3"/>
      </w:pPr>
      <w:r>
        <w:t xml:space="preserve">1.8. 🔗 blocks: I128-2810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31"/>
    <w:p>
      <w:pPr>
        <w:pStyle w:val="Heading3"/>
      </w:pPr>
      <w:r>
        <w:t xml:space="preserve">1.13. 🔗 blocks: I128-2831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9"/>
    <w:p>
      <w:pPr>
        <w:pStyle w:val="Heading3"/>
      </w:pPr>
      <w:r>
        <w:t xml:space="preserve">1.14. 🔗 blocks: I128-2839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40"/>
    <w:p>
      <w:pPr>
        <w:pStyle w:val="Heading3"/>
      </w:pPr>
      <w:r>
        <w:t xml:space="preserve">1.15. 🔗 blocks: I128-2840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800/README" TargetMode="External" /><Relationship Type="http://schemas.openxmlformats.org/officeDocument/2006/relationships/hyperlink" Id="rId13" Target="?id=Help/Show&amp;m=Help/GeneralDescription/WhatsNew/I128/TaskInfo/I128-2801/README" TargetMode="External" /><Relationship Type="http://schemas.openxmlformats.org/officeDocument/2006/relationships/hyperlink" Id="rId15" Target="?id=Help/Show&amp;m=Help/GeneralDescription/WhatsNew/I128/TaskInfo/I128-2803/README" TargetMode="External" /><Relationship Type="http://schemas.openxmlformats.org/officeDocument/2006/relationships/hyperlink" Id="rId17" Target="?id=Help/Show&amp;m=Help/GeneralDescription/WhatsNew/I128/TaskInfo/I128-2804/README" TargetMode="External" /><Relationship Type="http://schemas.openxmlformats.org/officeDocument/2006/relationships/hyperlink" Id="rId19" Target="?id=Help/Show&amp;m=Help/GeneralDescription/WhatsNew/I128/TaskInfo/I128-2805/README" TargetMode="External" /><Relationship Type="http://schemas.openxmlformats.org/officeDocument/2006/relationships/hyperlink" Id="rId21" Target="?id=Help/Show&amp;m=Help/GeneralDescription/WhatsNew/I128/TaskInfo/I128-2809/README" TargetMode="External" /><Relationship Type="http://schemas.openxmlformats.org/officeDocument/2006/relationships/hyperlink" Id="rId23" Target="?id=Help/Show&amp;m=Help/GeneralDescription/WhatsNew/I128/TaskInfo/I128-2810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33" Target="?id=Help/Show&amp;m=Help/GeneralDescription/WhatsNew/I128/TaskInfo/I128-2831/README" TargetMode="External" /><Relationship Type="http://schemas.openxmlformats.org/officeDocument/2006/relationships/hyperlink" Id="rId35" Target="?id=Help/Show&amp;m=Help/GeneralDescription/WhatsNew/I128/TaskInfo/I128-2839/README" TargetMode="External" /><Relationship Type="http://schemas.openxmlformats.org/officeDocument/2006/relationships/hyperlink" Id="rId37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[I128-2790] Расширить Workflow* для промышленного контура задач</dc:title>
  <dc:creator/>
  <cp:keywords/>
  <dcterms:created xsi:type="dcterms:W3CDTF">2026-10-10T04:11:59Z</dcterms:created>
  <dcterms:modified xsi:type="dcterms:W3CDTF">2026-10-10T04:11:59Z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