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52.png" ContentType="image/png"/>
  <Override PartName="/word/media/rId36.png" ContentType="image/png"/>
  <Override PartName="/word/media/rId17.png" ContentType="image/png"/>
  <Override PartName="/word/media/rId45.png" ContentType="image/png"/>
  <Override PartName="/word/media/rId41.png" ContentType="image/png"/>
  <Override PartName="/word/media/rId12.png" ContentType="image/png"/>
  <Override PartName="/word/media/rId31.png" ContentType="image/png"/>
  <Override PartName="/word/media/rId25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InMode и виджетов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7" w:name="настройка-inmode-и-виджетов"/>
    <w:p>
      <w:pPr>
        <w:pStyle w:val="Heading1"/>
      </w:pPr>
      <w:r>
        <w:t xml:space="preserve">Настройка InMode и виджетов</w:t>
      </w:r>
    </w:p>
    <w:p>
      <w:pPr>
        <w:pStyle w:val="FirstParagraph"/>
      </w:pPr>
      <w:r>
        <w:rPr>
          <w:rStyle w:val="VerbatimChar"/>
        </w:rPr>
        <w:t xml:space="preserve">InMode</w:t>
      </w:r>
      <w:r>
        <w:t xml:space="preserve"> </w:t>
      </w:r>
      <w:r>
        <w:t xml:space="preserve">связывает поле рабочего листа со средством ввода. На сервере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преобразует числовой метод ввода в имя виджета, а клиентский</w:t>
      </w:r>
      <w:r>
        <w:t xml:space="preserve"> </w:t>
      </w:r>
      <w:r>
        <w:rPr>
          <w:rStyle w:val="VerbatimChar"/>
        </w:rPr>
        <w:t xml:space="preserve">WidgetRegistry</w:t>
      </w:r>
      <w:r>
        <w:t xml:space="preserve"> </w:t>
      </w:r>
      <w:r>
        <w:t xml:space="preserve">создает редактор ячейки или окно.</w:t>
      </w:r>
    </w:p>
    <w:bookmarkStart w:id="9" w:name="карта-методов"/>
    <w:p>
      <w:pPr>
        <w:pStyle w:val="Heading2"/>
      </w:pPr>
      <w:r>
        <w:t xml:space="preserve">1. Карта методов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InMode</w:t>
            </w:r>
          </w:p>
        </w:tc>
        <w:tc>
          <w:tcPr/>
          <w:p>
            <w:pPr>
              <w:pStyle w:val="Compact"/>
            </w:pPr>
            <w:r>
              <w:t xml:space="preserve">Виджет</w:t>
            </w:r>
          </w:p>
        </w:tc>
        <w:tc>
          <w:tcPr/>
          <w:p>
            <w:pPr>
              <w:pStyle w:val="Compact"/>
            </w:pPr>
            <w:r>
              <w:t xml:space="preserve">Основной пользовательский элемент</w:t>
            </w:r>
          </w:p>
        </w:tc>
        <w:tc>
          <w:tcPr/>
          <w:p>
            <w:pPr>
              <w:pStyle w:val="Compact"/>
            </w:pPr>
            <w:r>
              <w:t xml:space="preserve">Основная настройка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неизвестный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</w:t>
            </w:r>
          </w:p>
        </w:tc>
        <w:tc>
          <w:tcPr/>
          <w:p>
            <w:pPr>
              <w:pStyle w:val="Compact"/>
            </w:pPr>
            <w:r>
              <w:t xml:space="preserve">однострочное поле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</w:p>
        </w:tc>
        <w:tc>
          <w:tcPr/>
          <w:p>
            <w:pPr>
              <w:pStyle w:val="Compact"/>
            </w:pPr>
            <w:r>
              <w:t xml:space="preserve">окно справочника или словаря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.mnu</w:t>
            </w:r>
            <w:r>
              <w:t xml:space="preserve"> </w:t>
            </w:r>
            <w:r>
              <w:t xml:space="preserve">или параметры словаря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t xml:space="preserve">окно ГРНТИ</w:t>
            </w:r>
          </w:p>
        </w:tc>
        <w:tc>
          <w:tcPr/>
          <w:p>
            <w:pPr>
              <w:pStyle w:val="Compact"/>
            </w:pPr>
            <w:r>
              <w:t xml:space="preserve">параметры рубрикатора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textarea</w:t>
            </w:r>
          </w:p>
        </w:tc>
        <w:tc>
          <w:tcPr/>
          <w:p>
            <w:pPr>
              <w:pStyle w:val="Compact"/>
            </w:pPr>
            <w:r>
              <w:t xml:space="preserve">большое текстовое окно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  <w:r>
              <w:t xml:space="preserve"> </w:t>
            </w:r>
            <w:r>
              <w:t xml:space="preserve">или WSS по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  <w:tc>
          <w:tcPr/>
          <w:p>
            <w:pPr>
              <w:pStyle w:val="Compact"/>
            </w:pPr>
            <w:r>
              <w:t xml:space="preserve">справочник или окно подполей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.ws</w:t>
            </w:r>
            <w:r>
              <w:t xml:space="preserve">/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для вложенных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tree</w:t>
            </w:r>
          </w:p>
        </w:tc>
        <w:tc>
          <w:tcPr/>
          <w:p>
            <w:pPr>
              <w:pStyle w:val="Compact"/>
            </w:pPr>
            <w:r>
              <w:t xml:space="preserve">иерархическое дерево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.tre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radio</w:t>
            </w:r>
          </w:p>
        </w:tc>
        <w:tc>
          <w:tcPr/>
          <w:p>
            <w:pPr>
              <w:pStyle w:val="Compact"/>
            </w:pPr>
            <w:r>
              <w:t xml:space="preserve">радиокнопки в ячейке</w:t>
            </w:r>
          </w:p>
        </w:tc>
        <w:tc>
          <w:tcPr/>
          <w:p>
            <w:pPr>
              <w:pStyle w:val="Compact"/>
            </w:pPr>
            <w:r>
              <w:t xml:space="preserve">короткое</w:t>
            </w:r>
            <w:r>
              <w:t xml:space="preserve"> </w:t>
            </w:r>
            <w:r>
              <w:rPr>
                <w:rStyle w:val="VerbatimChar"/>
              </w:rPr>
              <w:t xml:space="preserve">.mnu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поле с маской</w:t>
            </w:r>
          </w:p>
        </w:tc>
        <w:tc>
          <w:tcPr/>
          <w:p>
            <w:pPr>
              <w:pStyle w:val="Compact"/>
            </w:pPr>
            <w:r>
              <w:t xml:space="preserve">строка маски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authority</w:t>
            </w:r>
          </w:p>
        </w:tc>
        <w:tc>
          <w:tcPr/>
          <w:p>
            <w:pPr>
              <w:pStyle w:val="Compact"/>
            </w:pPr>
            <w:r>
              <w:t xml:space="preserve">окно авторитетного файла</w:t>
            </w:r>
          </w:p>
        </w:tc>
        <w:tc>
          <w:tcPr/>
          <w:p>
            <w:pPr>
              <w:pStyle w:val="Compact"/>
            </w:pPr>
            <w:r>
              <w:t xml:space="preserve">параметры авторитетной базы/переноса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thesaurus</w:t>
            </w:r>
          </w:p>
        </w:tc>
        <w:tc>
          <w:tcPr/>
          <w:p>
            <w:pPr>
              <w:pStyle w:val="Compact"/>
            </w:pPr>
            <w:r>
              <w:t xml:space="preserve">окно тезауруса</w:t>
            </w:r>
          </w:p>
        </w:tc>
        <w:tc>
          <w:tcPr/>
          <w:p>
            <w:pPr>
              <w:pStyle w:val="Compact"/>
            </w:pPr>
            <w:r>
              <w:t xml:space="preserve">настройка тезауруса на сервере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</w:t>
            </w:r>
          </w:p>
        </w:tc>
        <w:tc>
          <w:tcPr/>
          <w:p>
            <w:pPr>
              <w:pStyle w:val="Compact"/>
            </w:pPr>
            <w:r>
              <w:t xml:space="preserve">форма загрузки файла</w:t>
            </w:r>
          </w:p>
        </w:tc>
        <w:tc>
          <w:tcPr/>
          <w:p>
            <w:pPr>
              <w:pStyle w:val="Compact"/>
            </w:pPr>
            <w:r>
              <w:t xml:space="preserve">каталог или правило загрузки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dyn_dict</w:t>
            </w:r>
          </w:p>
        </w:tc>
        <w:tc>
          <w:tcPr/>
          <w:p>
            <w:pPr>
              <w:pStyle w:val="Compact"/>
            </w:pPr>
            <w:r>
              <w:t xml:space="preserve">динамический справочник</w:t>
            </w:r>
          </w:p>
        </w:tc>
        <w:tc>
          <w:tcPr/>
          <w:p>
            <w:pPr>
              <w:pStyle w:val="Compact"/>
            </w:pPr>
            <w:r>
              <w:t xml:space="preserve">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</w:t>
            </w:r>
          </w:p>
        </w:tc>
        <w:tc>
          <w:tcPr/>
          <w:p>
            <w:pPr>
              <w:pStyle w:val="Compact"/>
            </w:pPr>
            <w:r>
              <w:t xml:space="preserve">выбор серверного файла</w:t>
            </w:r>
          </w:p>
        </w:tc>
        <w:tc>
          <w:tcPr/>
          <w:p>
            <w:pPr>
              <w:pStyle w:val="Compact"/>
            </w:pPr>
            <w:r>
              <w:t xml:space="preserve">серверный каталог/фильтр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dyn_input</w:t>
            </w:r>
          </w:p>
        </w:tc>
        <w:tc>
          <w:tcPr/>
          <w:p>
            <w:pPr>
              <w:pStyle w:val="Compact"/>
            </w:pPr>
            <w:r>
              <w:t xml:space="preserve">выбор следующего метода через PFT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</w:t>
            </w:r>
            <w:r>
              <w:t xml:space="preserve"> </w:t>
            </w:r>
            <w:r>
              <w:rPr>
                <w:rStyle w:val="VerbatimChar"/>
              </w:rPr>
              <w:t xml:space="preserve">InMode,DopInf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dyn_wss</w:t>
            </w:r>
          </w:p>
        </w:tc>
        <w:tc>
          <w:tcPr/>
          <w:p>
            <w:pPr>
              <w:pStyle w:val="Compact"/>
            </w:pPr>
            <w:r>
              <w:t xml:space="preserve">динамический рабочий лист подполей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 схему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</w:t>
            </w:r>
          </w:p>
        </w:tc>
        <w:tc>
          <w:tcPr/>
          <w:p>
            <w:pPr>
              <w:pStyle w:val="Compact"/>
            </w:pPr>
            <w:r>
              <w:t xml:space="preserve">AI-окно</w:t>
            </w:r>
          </w:p>
        </w:tc>
        <w:tc>
          <w:tcPr/>
          <w:p>
            <w:pPr>
              <w:pStyle w:val="Compact"/>
            </w:pPr>
            <w:r>
              <w:t xml:space="preserve">PFT промпта и настройка AI</w:t>
            </w:r>
          </w:p>
        </w:tc>
      </w:tr>
    </w:tbl>
    <w:bookmarkEnd w:id="9"/>
    <w:bookmarkStart w:id="10" w:name="требования-к-dopinf"/>
    <w:p>
      <w:pPr>
        <w:pStyle w:val="Heading2"/>
      </w:pPr>
      <w:r>
        <w:t xml:space="preserve">2. Требования к DopInf</w:t>
      </w:r>
    </w:p>
    <w:p>
      <w:pPr>
        <w:pStyle w:val="FirstParagraph"/>
      </w:pPr>
      <w:r>
        <w:rPr>
          <w:rStyle w:val="VerbatimChar"/>
        </w:rPr>
        <w:t xml:space="preserve">DopInf</w:t>
      </w:r>
      <w:r>
        <w:t xml:space="preserve"> </w:t>
      </w:r>
      <w:r>
        <w:t xml:space="preserve">должен соответствовать выбранному методу: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dictionary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параметры словаря терминов;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tree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 </w:t>
      </w:r>
      <w:r>
        <w:t xml:space="preserve">лучше использовать короткое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иначе ячейка станет перегруженной;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mask</w:t>
      </w:r>
      <w:r>
        <w:t xml:space="preserve"> </w:t>
      </w:r>
      <w:r>
        <w:t xml:space="preserve">первая часть задает маску, затем могут идти режим сохранения литералов и заполнитель;</w:t>
      </w:r>
    </w:p>
    <w:p>
      <w:pPr>
        <w:pStyle w:val="Compact"/>
        <w:numPr>
          <w:ilvl w:val="0"/>
          <w:numId w:val="1001"/>
        </w:numPr>
      </w:pPr>
      <w:r>
        <w:t xml:space="preserve">для WSS указывается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dyn_dict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указывается PFT;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upload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file</w:t>
      </w:r>
      <w:r>
        <w:t xml:space="preserve"> </w:t>
      </w:r>
      <w:r>
        <w:t xml:space="preserve">указывается серверная настройка каталога или фильтра.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 </w:t>
      </w:r>
      <w:r>
        <w:t xml:space="preserve">(</w:t>
      </w:r>
      <w:r>
        <w:rPr>
          <w:rStyle w:val="VerbatimChar"/>
        </w:rPr>
        <w:t xml:space="preserve">InMode = 17</w:t>
      </w:r>
      <w:r>
        <w:t xml:space="preserve">)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должен вернуть строку вида:</w:t>
      </w:r>
    </w:p>
    <w:p>
      <w:pPr>
        <w:pStyle w:val="SourceCode"/>
      </w:pPr>
      <w:r>
        <w:rPr>
          <w:rStyle w:val="VerbatimChar"/>
        </w:rPr>
        <w:t xml:space="preserve">&lt;код_метода_ввода&gt;,&lt;DopInf для выбранного метода&gt;</w:t>
      </w:r>
    </w:p>
    <w:p>
      <w:pPr>
        <w:pStyle w:val="FirstParagraph"/>
      </w:pPr>
      <w:r>
        <w:t xml:space="preserve">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обычный справочник, но имя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будет вычислено по текущей записи или вводимому значению. Если формат возвращает строку</w:t>
      </w:r>
      <w:r>
        <w:t xml:space="preserve"> </w:t>
      </w:r>
      <w:r>
        <w:rPr>
          <w:rStyle w:val="VerbatimChar"/>
        </w:rPr>
        <w:t xml:space="preserve">@&lt;текст&gt;</w:t>
      </w:r>
      <w:r>
        <w:t xml:space="preserve">, he3 показывает этот текст пользователю и не открывает дочернее окно ввода.</w:t>
      </w:r>
    </w:p>
    <w:p>
      <w:pPr>
        <w:pStyle w:val="BodyText"/>
      </w:pPr>
      <w:r>
        <w:t xml:space="preserve">Перед вычислением PFT редактор синхронизирует черновик записи. Текущее значение поля передается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 при вызове из WSS туда попадает строка текущих подполей. Это нужно учитывать в форматах, которые выбирают метод по вводимому повторению.</w:t>
      </w:r>
    </w:p>
    <w:p>
      <w:pPr>
        <w:pStyle w:val="BodyText"/>
      </w:pPr>
      <w:r>
        <w:rPr>
          <w:rStyle w:val="VerbatimChar"/>
        </w:rPr>
        <w:t xml:space="preserve">dyn_input</w:t>
      </w:r>
      <w:r>
        <w:t xml:space="preserve"> </w:t>
      </w:r>
      <w:r>
        <w:t xml:space="preserve">не должен возвращать</w:t>
      </w:r>
      <w:r>
        <w:t xml:space="preserve"> </w:t>
      </w:r>
      <w:r>
        <w:rPr>
          <w:rStyle w:val="VerbatimChar"/>
        </w:rPr>
        <w:t xml:space="preserve">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: WSS, радиокнопки, маска и повторный динамический вызов не открываются как следующий модальный метод. Если нужно сделать выбор обязательным, в рабочем листе можно указать</w:t>
      </w:r>
      <w:r>
        <w:t xml:space="preserve"> </w:t>
      </w:r>
      <w:r>
        <w:rPr>
          <w:rStyle w:val="VerbatimChar"/>
        </w:rPr>
        <w:t xml:space="preserve">!17</w:t>
      </w:r>
      <w:r>
        <w:t xml:space="preserve">.</w:t>
      </w:r>
    </w:p>
    <w:p>
      <w:pPr>
        <w:pStyle w:val="BodyText"/>
      </w:pPr>
      <w:r>
        <w:t xml:space="preserve">Если ресурс отсутствует, окно может открыться пустым или вернуть серверную ошибку. Поэтому после изменения рабочего листа нужно проверять не только отображение вкладки, но и вызов каждого средства ввода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bookmarkEnd w:id="10"/>
    <w:bookmarkStart w:id="11" w:name="пользовательские-виджеты"/>
    <w:p>
      <w:pPr>
        <w:pStyle w:val="Heading2"/>
      </w:pPr>
      <w:r>
        <w:t xml:space="preserve">3. Пользовательские виджеты</w:t>
      </w:r>
    </w:p>
    <w:p>
      <w:pPr>
        <w:pStyle w:val="FirstParagraph"/>
      </w:pPr>
      <w:r>
        <w:t xml:space="preserve">Модуль предоставляет</w:t>
      </w:r>
      <w:r>
        <w:t xml:space="preserve"> </w:t>
      </w:r>
      <w:r>
        <w:rPr>
          <w:rStyle w:val="VerbatimChar"/>
        </w:rPr>
        <w:t xml:space="preserve">RegisterWidgetPlugin($inMode, $widgetName)</w:t>
      </w:r>
      <w:r>
        <w:t xml:space="preserve">. Чтобы виджет заработал полностью, нужно:</w:t>
      </w:r>
    </w:p>
    <w:p>
      <w:pPr>
        <w:pStyle w:val="Compact"/>
        <w:numPr>
          <w:ilvl w:val="0"/>
          <w:numId w:val="1002"/>
        </w:numPr>
      </w:pPr>
      <w:r>
        <w:t xml:space="preserve">зарегистрировать PHP-сопоставление</w:t>
      </w:r>
      <w:r>
        <w:t xml:space="preserve"> </w:t>
      </w:r>
      <w:r>
        <w:rPr>
          <w:rStyle w:val="VerbatimChar"/>
        </w:rPr>
        <w:t xml:space="preserve">InMode -&gt; widgetName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подключить JS-файл виджета;</w:t>
      </w:r>
    </w:p>
    <w:p>
      <w:pPr>
        <w:pStyle w:val="Compact"/>
        <w:numPr>
          <w:ilvl w:val="0"/>
          <w:numId w:val="1002"/>
        </w:numPr>
      </w:pPr>
      <w:r>
        <w:t xml:space="preserve">зарегистрировать клиентский обработчик</w:t>
      </w:r>
      <w:r>
        <w:t xml:space="preserve"> </w:t>
      </w:r>
      <w:r>
        <w:rPr>
          <w:rStyle w:val="VerbatimChar"/>
        </w:rPr>
        <w:t xml:space="preserve">Irbis.he3.WidgetRegistry.register(widgetName, ...)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вернуть значение через стандартный callback;</w:t>
      </w:r>
    </w:p>
    <w:p>
      <w:pPr>
        <w:pStyle w:val="Compact"/>
        <w:numPr>
          <w:ilvl w:val="0"/>
          <w:numId w:val="1002"/>
        </w:numPr>
      </w:pPr>
      <w:r>
        <w:t xml:space="preserve">проверить работу внутри обычной таблицы полей и внутри WSS, если виджет должен поддерживать подполя.</w:t>
      </w:r>
    </w:p>
    <w:p>
      <w:pPr>
        <w:pStyle w:val="FirstParagraph"/>
      </w:pPr>
      <w:r>
        <w:t xml:space="preserve">Диапазон</w:t>
      </w:r>
      <w:r>
        <w:t xml:space="preserve"> </w:t>
      </w:r>
      <w:r>
        <w:rPr>
          <w:rStyle w:val="VerbatimChar"/>
        </w:rPr>
        <w:t xml:space="preserve">128000-128999</w:t>
      </w:r>
      <w:r>
        <w:t xml:space="preserve"> </w:t>
      </w:r>
      <w:r>
        <w:t xml:space="preserve">можно использовать для пользовательских методов ввода, чтобы не конфликтовать со стандартными методами ИРБИС.</w:t>
      </w:r>
    </w:p>
    <w:p>
      <w:pPr>
        <w:pStyle w:val="BodyText"/>
      </w:pPr>
      <w:r>
        <w:t xml:space="preserve">Подробное пользовательское описание всех стандартных методов ввода со скриншотами см. в разделе:</w:t>
      </w:r>
    </w:p>
    <w:bookmarkEnd w:id="11"/>
    <w:bookmarkStart w:id="56" w:name="средства-ввода"/>
    <w:p>
      <w:pPr>
        <w:pStyle w:val="Heading2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13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15" w:name="общие-элементы"/>
    <w:p>
      <w:pPr>
        <w:pStyle w:val="Heading3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3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3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3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3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3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04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04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04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04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04"/>
        </w:numPr>
      </w:pPr>
      <w:r>
        <w:t xml:space="preserve">подсказки и горячие клавиши стандартного редактора.</w:t>
      </w:r>
    </w:p>
    <w:bookmarkEnd w:id="15"/>
    <w:bookmarkStart w:id="16" w:name="X3c94d163a6dfcd834bae781a506dd77905b63a6"/>
    <w:p>
      <w:pPr>
        <w:pStyle w:val="Heading3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16"/>
    <w:bookmarkStart w:id="20" w:name="inmode-1-и-2-справочник-или-словарь"/>
    <w:p>
      <w:pPr>
        <w:pStyle w:val="Heading3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18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5"/>
        </w:numPr>
      </w:pPr>
      <w:r>
        <w:t xml:space="preserve">строка «Поиск»;</w:t>
      </w:r>
    </w:p>
    <w:p>
      <w:pPr>
        <w:pStyle w:val="Compact"/>
        <w:numPr>
          <w:ilvl w:val="0"/>
          <w:numId w:val="1005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05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05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05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05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20"/>
    <w:bookmarkStart w:id="24" w:name="inmode-3-грнти"/>
    <w:p>
      <w:pPr>
        <w:pStyle w:val="Heading3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22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6"/>
        </w:numPr>
      </w:pPr>
      <w:r>
        <w:t xml:space="preserve">поле поиска;</w:t>
      </w:r>
    </w:p>
    <w:p>
      <w:pPr>
        <w:pStyle w:val="Compact"/>
        <w:numPr>
          <w:ilvl w:val="0"/>
          <w:numId w:val="1006"/>
        </w:numPr>
      </w:pPr>
      <w:r>
        <w:t xml:space="preserve">дерево рубрик;</w:t>
      </w:r>
    </w:p>
    <w:p>
      <w:pPr>
        <w:pStyle w:val="Compact"/>
        <w:numPr>
          <w:ilvl w:val="0"/>
          <w:numId w:val="1006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06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06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24"/>
    <w:bookmarkStart w:id="28" w:name="inmode-4-и-8-многострочный-ввод"/>
    <w:p>
      <w:pPr>
        <w:pStyle w:val="Heading3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26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7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07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07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07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28"/>
    <w:bookmarkStart w:id="29" w:name="inmode-5-и-wss-вложенные-подполя"/>
    <w:p>
      <w:pPr>
        <w:pStyle w:val="Heading3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8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08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08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08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08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08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08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29"/>
    <w:bookmarkStart w:id="30" w:name="inmode-6-иерархический-справочник"/>
    <w:p>
      <w:pPr>
        <w:pStyle w:val="Heading3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30"/>
    <w:bookmarkStart w:id="34" w:name="inmode-7-радиокнопки"/>
    <w:p>
      <w:pPr>
        <w:pStyle w:val="Heading3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32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09"/>
        </w:numPr>
      </w:pPr>
      <w:r>
        <w:t xml:space="preserve">радиогруппа;</w:t>
      </w:r>
    </w:p>
    <w:p>
      <w:pPr>
        <w:pStyle w:val="Compact"/>
        <w:numPr>
          <w:ilvl w:val="0"/>
          <w:numId w:val="1009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09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09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34"/>
    <w:bookmarkStart w:id="35" w:name="inmode-9-маска"/>
    <w:p>
      <w:pPr>
        <w:pStyle w:val="Heading3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0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0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0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0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0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35"/>
    <w:bookmarkStart w:id="39" w:name="inmode-10-авторитетный-файл"/>
    <w:p>
      <w:pPr>
        <w:pStyle w:val="Heading3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37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11"/>
        </w:numPr>
      </w:pPr>
      <w:r>
        <w:t xml:space="preserve">строка поиска;</w:t>
      </w:r>
    </w:p>
    <w:p>
      <w:pPr>
        <w:pStyle w:val="Compact"/>
        <w:numPr>
          <w:ilvl w:val="0"/>
          <w:numId w:val="1011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11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11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11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11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39"/>
    <w:bookmarkStart w:id="40" w:name="inmode-11-тезаурус"/>
    <w:p>
      <w:pPr>
        <w:pStyle w:val="Heading3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2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2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2"/>
        </w:numPr>
      </w:pPr>
      <w:r>
        <w:t xml:space="preserve">строка поиска;</w:t>
      </w:r>
    </w:p>
    <w:p>
      <w:pPr>
        <w:pStyle w:val="Compact"/>
        <w:numPr>
          <w:ilvl w:val="0"/>
          <w:numId w:val="1012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2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2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2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2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2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40"/>
    <w:bookmarkStart w:id="44" w:name="inmode-12-загрузка-локального-файла"/>
    <w:p>
      <w:pPr>
        <w:pStyle w:val="Heading3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42" name="Picture"/>
            <a:graphic>
              <a:graphicData uri="http://schemas.openxmlformats.org/drawingml/2006/picture">
                <pic:pic>
                  <pic:nvPicPr>
                    <pic:cNvPr descr="modules/he3/Help/img/he3-inmode-files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3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3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3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3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44"/>
    <w:bookmarkStart w:id="48" w:name="inmode-15-динамический-справочник"/>
    <w:p>
      <w:pPr>
        <w:pStyle w:val="Heading3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46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4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14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14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1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48"/>
    <w:bookmarkStart w:id="49" w:name="inmode-16-выбор-файла-на-сервере"/>
    <w:p>
      <w:pPr>
        <w:pStyle w:val="Heading3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15"/>
        </w:numPr>
      </w:pPr>
      <w:r>
        <w:t xml:space="preserve">поле фильтра;</w:t>
      </w:r>
    </w:p>
    <w:p>
      <w:pPr>
        <w:pStyle w:val="Compact"/>
        <w:numPr>
          <w:ilvl w:val="0"/>
          <w:numId w:val="1015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15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15"/>
        </w:numPr>
      </w:pPr>
      <w:r>
        <w:t xml:space="preserve">тип элемента;</w:t>
      </w:r>
    </w:p>
    <w:p>
      <w:pPr>
        <w:pStyle w:val="Compact"/>
        <w:numPr>
          <w:ilvl w:val="0"/>
          <w:numId w:val="1015"/>
        </w:numPr>
      </w:pPr>
      <w:r>
        <w:t xml:space="preserve">имя;</w:t>
      </w:r>
    </w:p>
    <w:p>
      <w:pPr>
        <w:pStyle w:val="Compact"/>
        <w:numPr>
          <w:ilvl w:val="0"/>
          <w:numId w:val="1015"/>
        </w:numPr>
      </w:pPr>
      <w:r>
        <w:t xml:space="preserve">размер;</w:t>
      </w:r>
    </w:p>
    <w:p>
      <w:pPr>
        <w:pStyle w:val="Compact"/>
        <w:numPr>
          <w:ilvl w:val="0"/>
          <w:numId w:val="1015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49"/>
    <w:bookmarkStart w:id="50" w:name="X3c50037a762c8a4cfa814bb075fd7698e211583"/>
    <w:p>
      <w:pPr>
        <w:pStyle w:val="Heading3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16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16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6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16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16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16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50"/>
    <w:bookmarkStart w:id="51" w:name="inmode-18-динамический-wss"/>
    <w:p>
      <w:pPr>
        <w:pStyle w:val="Heading3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7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17"/>
        </w:numPr>
      </w:pPr>
      <w:r>
        <w:t xml:space="preserve">код подполя;</w:t>
      </w:r>
    </w:p>
    <w:p>
      <w:pPr>
        <w:pStyle w:val="Compact"/>
        <w:numPr>
          <w:ilvl w:val="0"/>
          <w:numId w:val="1017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17"/>
        </w:numPr>
      </w:pPr>
      <w:r>
        <w:t xml:space="preserve">значение;</w:t>
      </w:r>
    </w:p>
    <w:p>
      <w:pPr>
        <w:pStyle w:val="Compact"/>
        <w:numPr>
          <w:ilvl w:val="0"/>
          <w:numId w:val="1017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17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51"/>
    <w:bookmarkStart w:id="55" w:name="inmode-20-ввод-на-основе-ai"/>
    <w:p>
      <w:pPr>
        <w:pStyle w:val="Heading3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53" name="Picture"/>
            <a:graphic>
              <a:graphicData uri="http://schemas.openxmlformats.org/drawingml/2006/picture">
                <pic:pic>
                  <pic:nvPicPr>
                    <pic:cNvPr descr="modules/he3/Help/img/he3-inmode-ai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8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18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18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18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18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18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55"/>
    <w:bookmarkEnd w:id="56"/>
    <w:bookmarkEnd w:id="5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52" Target="media/rId52.png" /><Relationship Type="http://schemas.openxmlformats.org/officeDocument/2006/relationships/image" Id="rId36" Target="media/rId36.png" /><Relationship Type="http://schemas.openxmlformats.org/officeDocument/2006/relationships/image" Id="rId17" Target="media/rId17.png" /><Relationship Type="http://schemas.openxmlformats.org/officeDocument/2006/relationships/image" Id="rId45" Target="media/rId45.png" /><Relationship Type="http://schemas.openxmlformats.org/officeDocument/2006/relationships/image" Id="rId41" Target="media/rId41.png" /><Relationship Type="http://schemas.openxmlformats.org/officeDocument/2006/relationships/image" Id="rId12" Target="media/rId12.png" /><Relationship Type="http://schemas.openxmlformats.org/officeDocument/2006/relationships/image" Id="rId31" Target="media/rId31.png" /><Relationship Type="http://schemas.openxmlformats.org/officeDocument/2006/relationships/image" Id="rId25" Target="media/rId25.png" /><Relationship Type="http://schemas.openxmlformats.org/officeDocument/2006/relationships/image" Id="rId21" Target="media/rId2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InMode и виджетов</dc:title>
  <dc:creator/>
  <cp:keywords/>
  <dcterms:created xsi:type="dcterms:W3CDTF">2026-10-09T11:10:56Z</dcterms:created>
  <dcterms:modified xsi:type="dcterms:W3CDTF">2026-10-09T11:10:56Z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