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SyncPolicy и ConflictPolicy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syncpolicy-и-conflictpolicy"/>
    <w:p>
      <w:pPr>
        <w:pStyle w:val="Heading1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9" w:name="syncpolicy"/>
    <w:p>
      <w:pPr>
        <w:pStyle w:val="Heading2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1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1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source-of-truth policy;</w:t>
      </w:r>
    </w:p>
    <w:p>
      <w:pPr>
        <w:pStyle w:val="Compact"/>
        <w:numPr>
          <w:ilvl w:val="0"/>
          <w:numId w:val="1001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1"/>
        </w:numPr>
      </w:pPr>
      <w:r>
        <w:t xml:space="preserve">idempotency scope;</w:t>
      </w:r>
    </w:p>
    <w:p>
      <w:pPr>
        <w:pStyle w:val="Compact"/>
        <w:numPr>
          <w:ilvl w:val="0"/>
          <w:numId w:val="1001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1"/>
        </w:numPr>
      </w:pPr>
      <w:r>
        <w:t xml:space="preserve">stale data policy;</w:t>
      </w:r>
    </w:p>
    <w:p>
      <w:pPr>
        <w:pStyle w:val="Compact"/>
        <w:numPr>
          <w:ilvl w:val="0"/>
          <w:numId w:val="1001"/>
        </w:numPr>
      </w:pPr>
      <w:r>
        <w:t xml:space="preserve">retry eligibility;</w:t>
      </w:r>
    </w:p>
    <w:p>
      <w:pPr>
        <w:pStyle w:val="Compact"/>
        <w:numPr>
          <w:ilvl w:val="0"/>
          <w:numId w:val="1001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9"/>
    <w:bookmarkStart w:id="10" w:name="conflictpolicy"/>
    <w:p>
      <w:pPr>
        <w:pStyle w:val="Heading2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10"/>
    <w:bookmarkStart w:id="11" w:name="dry-run-sync"/>
    <w:p>
      <w:pPr>
        <w:pStyle w:val="Heading2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3"/>
        </w:numPr>
      </w:pPr>
      <w:r>
        <w:t xml:space="preserve">normalized payload;</w:t>
      </w:r>
    </w:p>
    <w:p>
      <w:pPr>
        <w:pStyle w:val="Compact"/>
        <w:numPr>
          <w:ilvl w:val="0"/>
          <w:numId w:val="1003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3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3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3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3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3"/>
        </w:numPr>
      </w:pPr>
      <w:r>
        <w:t xml:space="preserve">conflict classes;</w:t>
      </w:r>
    </w:p>
    <w:p>
      <w:pPr>
        <w:pStyle w:val="Compact"/>
        <w:numPr>
          <w:ilvl w:val="0"/>
          <w:numId w:val="1003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3"/>
        </w:numPr>
      </w:pPr>
      <w:r>
        <w:t xml:space="preserve">idempotency fingerprint;</w:t>
      </w:r>
    </w:p>
    <w:p>
      <w:pPr>
        <w:pStyle w:val="Compact"/>
        <w:numPr>
          <w:ilvl w:val="0"/>
          <w:numId w:val="1003"/>
        </w:numPr>
      </w:pPr>
      <w:r>
        <w:t xml:space="preserve">trace metadata;</w:t>
      </w:r>
    </w:p>
    <w:p>
      <w:pPr>
        <w:pStyle w:val="Compact"/>
        <w:numPr>
          <w:ilvl w:val="0"/>
          <w:numId w:val="1003"/>
        </w:numPr>
      </w:pPr>
      <w:r>
        <w:t xml:space="preserve">Security summary;</w:t>
      </w:r>
    </w:p>
    <w:p>
      <w:pPr>
        <w:pStyle w:val="Compact"/>
        <w:numPr>
          <w:ilvl w:val="0"/>
          <w:numId w:val="1003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11"/>
    <w:bookmarkStart w:id="12" w:name="границы-ответственности"/>
    <w:p>
      <w:pPr>
        <w:pStyle w:val="Heading2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SyncPolicy и ConflictPolicy</dc:title>
  <dc:creator/>
  <cp:keywords/>
  <dcterms:created xsi:type="dcterms:W3CDTF">2026-10-08T06:03:57Z</dcterms:created>
  <dcterms:modified xsi:type="dcterms:W3CDTF">2026-10-08T06:03:57Z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