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[I128-2179] Публичный доступ к провайдеру и кэшу открытых баз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930a1a8c85f882e29aad09208a583fb510367f"/>
    <w:p>
      <w:pPr>
        <w:pStyle w:val="Heading1"/>
      </w:pPr>
      <w:r>
        <w:t xml:space="preserve">[I128-2179] Публичный доступ к провайдеру и кэшу открытых баз модуля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i128f/Providers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Доступ к провайдеру и кэшу открытых баз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технической Help-документации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уточнен контракт доступа к корневому провайдеру и кэшу открытых баз после приватизации</w:t>
      </w:r>
      <w:r>
        <w:t xml:space="preserve"> </w:t>
      </w: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.</w:t>
      </w:r>
    </w:p>
    <w:p>
      <w:pPr>
        <w:pStyle w:val="BodyText"/>
      </w:pPr>
      <w:r>
        <w:t xml:space="preserve">Раздел поясняет, что эти свойства являются внутренним состоянием модуля, а внешний код должен обращаться через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 Также указано, что прямое изменение внутреннего состояния может нарушить повторное использование объектов баз,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9"/>
    <w:p>
      <w:pPr>
        <w:pStyle w:val="Heading3"/>
      </w:pPr>
      <w:r>
        <w:t xml:space="preserve">1.1. 🔗 Соответствует задача: I128-2169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[I128-2169]</w:t>
        </w:r>
      </w:hyperlink>
      <w:r>
        <w:t xml:space="preserve"> </w:t>
      </w:r>
      <w:r>
        <w:t xml:space="preserve">Объявление переменных $RootDP и $Databases модуля i128f приватными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[I128-2179] Публичный доступ к провайдеру и кэшу открытых баз модуля i128f</dc:title>
  <dc:creator/>
  <cp:keywords/>
  <dcterms:created xsi:type="dcterms:W3CDTF">2026-10-06T20:10:35Z</dcterms:created>
  <dcterms:modified xsi:type="dcterms:W3CDTF">2026-10-06T20:10:35Z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