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[I128-2493] Папки: связь импортированной папки с родителем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23e2a385fdda02adfedfb2e809d45aabe6de26"/>
    <w:p>
      <w:pPr>
        <w:pStyle w:val="Heading1"/>
      </w:pPr>
      <w:r>
        <w:t xml:space="preserve">[I128-2493] Папки: связь импортированной папки с родителем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импорте дерева папок связь новой папки с родительской записью добавляется прямой записью LINK в служебное поле 113. После выделения границы ответственности Security это оставляет часть сценария импорта папок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Импорт дерева папок использует общий механизм Security для создания связи с родительской записью. Для пользователя сценарий остается прежним: папки создаются по импортируемому дереву и связываются с родительскими объектами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modules/Folder/Actions/ImportPathedTree2.inc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r, $linktype,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[I128-2493] Папки: связь импортированной папки с родителем создается вне Security</dc:title>
  <dc:creator/>
  <cp:keywords/>
  <dcterms:created xsi:type="dcterms:W3CDTF">2026-10-06T12:32:28Z</dcterms:created>
  <dcterms:modified xsi:type="dcterms:W3CDTF">2026-10-06T12:32:28Z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