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Вложенные рабочие листы и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ложенные-рабочие-листы-и-подполя"/>
    <w:p>
      <w:pPr>
        <w:pStyle w:val="Heading1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10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12" w:name="статическое-wss-окно"/>
    <w:p>
      <w:pPr>
        <w:pStyle w:val="Heading2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1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1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12"/>
    <w:bookmarkStart w:id="13" w:name="средства-ввода-внутри-wss"/>
    <w:p>
      <w:pPr>
        <w:pStyle w:val="Heading2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13"/>
    <w:bookmarkStart w:id="14" w:name="динамические-подполя"/>
    <w:p>
      <w:pPr>
        <w:pStyle w:val="Heading2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14"/>
    <w:bookmarkStart w:id="15" w:name="ошибки-вложенного-листа"/>
    <w:p>
      <w:pPr>
        <w:pStyle w:val="Heading2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Вложенные рабочие листы и подполя</dc:title>
  <dc:creator/>
  <cp:keywords/>
  <dcterms:created xsi:type="dcterms:W3CDTF">2026-10-03T17:29:15Z</dcterms:created>
  <dcterms:modified xsi:type="dcterms:W3CDTF">2026-10-03T17:29:15Z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