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Registrator</w:t>
      </w:r>
      <w:r>
        <w:t xml:space="preserve"> </w:t>
      </w:r>
      <w:r>
        <w:t xml:space="preserve">выделяет АРМ Регистрация читателей в отдельный модуль. Он владеет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действием сохранения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, действием выбора места</w:t>
      </w:r>
      <w:r>
        <w:t xml:space="preserve"> </w:t>
      </w:r>
      <w:r>
        <w:rPr>
          <w:rStyle w:val="VerbatimChar"/>
        </w:rPr>
        <w:t xml:space="preserve">Registrator/SetRegPlace</w:t>
      </w:r>
      <w:r>
        <w:t xml:space="preserve"> </w:t>
      </w:r>
      <w:r>
        <w:t xml:space="preserve">и профилями настроек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</w:t>
      </w:r>
    </w:p>
    <w:p>
      <w:pPr>
        <w:pStyle w:val="BodyText"/>
      </w:pPr>
      <w:r>
        <w:t xml:space="preserve">Для плавного перехода сохранены совместимые старые входы: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, действие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делегируют выполнение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также проверяется в старом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Профиль АРМ может назначить место регистрации и ограничить список полей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которые локальный или внешний АРМ может передать при сохранении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2026-10-06T00:52:17Z</dcterms:created>
  <dcterms:modified xsi:type="dcterms:W3CDTF">2026-10-06T00:52:17Z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