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[I128-2490] ЭДД: право просмотра заявки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bc987eb37e9b51cbdca21c5454ee1d6e6933bc"/>
    <w:p>
      <w:pPr>
        <w:pStyle w:val="Heading1"/>
      </w:pPr>
      <w:r>
        <w:t xml:space="preserve">[I128-2490] ЭДД: право просмотра заявки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заявки ЭДД право просмотра для IP добавляется в служебное поле 113 прямой записью из модуля CSpiderEDD. После выделения границы ответственности Security это оставляет часть сценария создания заявки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заявки ЭДД использует общий механизм Security для назначения права просмотра. Для пользователя сценарий не меняется: заявка создается, а доступ к ней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modules/CSpiderEDD/api.php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a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ra,</w:t>
      </w:r>
      <w:r>
        <w:rPr>
          <w:strike/>
        </w:rPr>
        <w:t xml:space="preserve"> </w:t>
      </w:r>
      <w:r>
        <w:rPr>
          <w:strike/>
        </w:rPr>
        <w:t xml:space="preserve">‘Ip’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‘view’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[I128-2490] ЭДД: право просмотра заявки назначается вне Security</dc:title>
  <dc:creator/>
  <cp:keywords/>
  <dcterms:created xsi:type="dcterms:W3CDTF">2026-10-06T05:01:43Z</dcterms:created>
  <dcterms:modified xsi:type="dcterms:W3CDTF">2026-10-06T05:01:43Z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